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1BA6E" w14:textId="46CF1C84" w:rsidR="00D6085D" w:rsidRPr="00B855A3" w:rsidRDefault="00E36920">
      <w:pPr>
        <w:rPr>
          <w:rFonts w:ascii="Century" w:eastAsia="ＭＳ 明朝" w:hAnsi="Century" w:cs="Times New Roman"/>
          <w:b/>
          <w:szCs w:val="21"/>
        </w:rPr>
      </w:pPr>
      <w:r w:rsidRPr="00B855A3">
        <w:rPr>
          <w:rFonts w:ascii="ＭＳ 明朝" w:eastAsia="ＭＳ 明朝" w:hAnsi="ＭＳ 明朝" w:cs="ＭＳ 明朝" w:hint="eastAsia"/>
          <w:b/>
          <w:szCs w:val="21"/>
        </w:rPr>
        <w:t>Ⅰ</w:t>
      </w:r>
      <w:r w:rsidR="006364BA" w:rsidRPr="00B855A3">
        <w:rPr>
          <w:rFonts w:ascii="Century" w:eastAsia="ＭＳ 明朝" w:hAnsi="Century" w:cs="Times New Roman"/>
          <w:b/>
          <w:szCs w:val="21"/>
        </w:rPr>
        <w:t xml:space="preserve">　</w:t>
      </w:r>
      <w:r w:rsidR="008C0F9F" w:rsidRPr="00B855A3">
        <w:rPr>
          <w:rFonts w:ascii="Century" w:eastAsia="ＭＳ 明朝" w:hAnsi="Century" w:cs="Times New Roman"/>
          <w:b/>
          <w:szCs w:val="21"/>
        </w:rPr>
        <w:t>タイ</w:t>
      </w:r>
      <w:r w:rsidRPr="00B855A3">
        <w:rPr>
          <w:rFonts w:ascii="Century" w:eastAsia="ＭＳ 明朝" w:hAnsi="Century" w:cs="Times New Roman"/>
          <w:b/>
          <w:szCs w:val="21"/>
        </w:rPr>
        <w:t>の農業概況</w:t>
      </w:r>
    </w:p>
    <w:p w14:paraId="1299D7C5" w14:textId="0D894FA3" w:rsidR="00E36920" w:rsidRPr="00B855A3" w:rsidRDefault="00E36920">
      <w:pPr>
        <w:rPr>
          <w:rFonts w:ascii="Century" w:eastAsia="ＭＳ 明朝" w:hAnsi="Century" w:cs="Times New Roman"/>
          <w:b/>
          <w:szCs w:val="21"/>
        </w:rPr>
      </w:pPr>
      <w:r w:rsidRPr="00B855A3">
        <w:rPr>
          <w:rFonts w:ascii="Century" w:eastAsia="ＭＳ 明朝" w:hAnsi="Century" w:cs="Times New Roman"/>
          <w:b/>
          <w:szCs w:val="21"/>
        </w:rPr>
        <w:t>１．</w:t>
      </w:r>
      <w:r w:rsidR="008C0F9F" w:rsidRPr="00B855A3">
        <w:rPr>
          <w:rFonts w:ascii="Century" w:eastAsia="ＭＳ 明朝" w:hAnsi="Century" w:cs="Times New Roman"/>
          <w:b/>
          <w:szCs w:val="21"/>
        </w:rPr>
        <w:t>タイ</w:t>
      </w:r>
      <w:r w:rsidRPr="00B855A3">
        <w:rPr>
          <w:rFonts w:ascii="Century" w:eastAsia="ＭＳ 明朝" w:hAnsi="Century" w:cs="Times New Roman"/>
          <w:b/>
          <w:szCs w:val="21"/>
        </w:rPr>
        <w:t>の概況</w:t>
      </w:r>
    </w:p>
    <w:p w14:paraId="32F750D2" w14:textId="5BCF93FE" w:rsidR="0028729A" w:rsidRPr="00B855A3" w:rsidRDefault="00F21EE2" w:rsidP="00D6085D">
      <w:pPr>
        <w:pStyle w:val="Web"/>
        <w:spacing w:before="0" w:beforeAutospacing="0" w:after="0" w:afterAutospacing="0"/>
        <w:ind w:firstLineChars="100" w:firstLine="210"/>
        <w:rPr>
          <w:rFonts w:ascii="Century" w:eastAsia="ＭＳ 明朝" w:hAnsi="Century" w:cs="Times New Roman"/>
          <w:sz w:val="21"/>
          <w:szCs w:val="21"/>
        </w:rPr>
      </w:pPr>
      <w:r w:rsidRPr="00B855A3">
        <w:rPr>
          <w:rFonts w:ascii="Century" w:eastAsia="ＭＳ 明朝" w:hAnsi="Century" w:cs="Times New Roman"/>
          <w:sz w:val="21"/>
          <w:szCs w:val="21"/>
        </w:rPr>
        <w:t>タイ王国（以下タイ）</w:t>
      </w:r>
      <w:r w:rsidR="00266C30" w:rsidRPr="00B855A3">
        <w:rPr>
          <w:rFonts w:ascii="Century" w:eastAsia="ＭＳ 明朝" w:hAnsi="Century" w:cs="Times New Roman"/>
          <w:sz w:val="21"/>
          <w:szCs w:val="21"/>
        </w:rPr>
        <w:t>は国土面積約</w:t>
      </w:r>
      <w:r w:rsidRPr="00B855A3">
        <w:rPr>
          <w:rFonts w:ascii="Century" w:eastAsia="ＭＳ 明朝" w:hAnsi="Century" w:cs="Times New Roman"/>
          <w:sz w:val="21"/>
          <w:szCs w:val="21"/>
        </w:rPr>
        <w:t>51</w:t>
      </w:r>
      <w:r w:rsidR="00266C30" w:rsidRPr="00B855A3">
        <w:rPr>
          <w:rFonts w:ascii="Century" w:eastAsia="ＭＳ 明朝" w:hAnsi="Century" w:cs="Times New Roman"/>
          <w:sz w:val="21"/>
          <w:szCs w:val="21"/>
        </w:rPr>
        <w:t>万</w:t>
      </w:r>
      <w:r w:rsidRPr="00B855A3">
        <w:rPr>
          <w:rFonts w:ascii="Century" w:eastAsia="ＭＳ 明朝" w:hAnsi="Century" w:cs="Times New Roman"/>
          <w:sz w:val="21"/>
          <w:szCs w:val="21"/>
        </w:rPr>
        <w:t>3,115</w:t>
      </w:r>
      <w:r w:rsidR="00266C30" w:rsidRPr="00B855A3">
        <w:rPr>
          <w:rFonts w:ascii="Century" w:eastAsia="ＭＳ 明朝" w:hAnsi="Century" w:cs="Times New Roman"/>
          <w:sz w:val="21"/>
          <w:szCs w:val="21"/>
        </w:rPr>
        <w:t>㎢（日本の約</w:t>
      </w:r>
      <w:r w:rsidRPr="00B855A3">
        <w:rPr>
          <w:rFonts w:ascii="Century" w:eastAsia="ＭＳ 明朝" w:hAnsi="Century" w:cs="Times New Roman"/>
          <w:sz w:val="21"/>
          <w:szCs w:val="21"/>
        </w:rPr>
        <w:t>1.4</w:t>
      </w:r>
      <w:r w:rsidR="00266C30" w:rsidRPr="00B855A3">
        <w:rPr>
          <w:rFonts w:ascii="Century" w:eastAsia="ＭＳ 明朝" w:hAnsi="Century" w:cs="Times New Roman"/>
          <w:sz w:val="21"/>
          <w:szCs w:val="21"/>
        </w:rPr>
        <w:t>割）である。人口は約</w:t>
      </w:r>
      <w:r w:rsidRPr="00B855A3">
        <w:rPr>
          <w:rFonts w:ascii="Century" w:eastAsia="ＭＳ 明朝" w:hAnsi="Century" w:cs="Times New Roman"/>
          <w:sz w:val="21"/>
          <w:szCs w:val="21"/>
        </w:rPr>
        <w:t>6,765</w:t>
      </w:r>
      <w:r w:rsidR="00266C30" w:rsidRPr="00B855A3">
        <w:rPr>
          <w:rFonts w:ascii="Century" w:eastAsia="ＭＳ 明朝" w:hAnsi="Century" w:cs="Times New Roman"/>
          <w:sz w:val="21"/>
          <w:szCs w:val="21"/>
        </w:rPr>
        <w:t>万人であり、首都</w:t>
      </w:r>
      <w:r w:rsidRPr="00B855A3">
        <w:rPr>
          <w:rFonts w:ascii="Century" w:eastAsia="ＭＳ 明朝" w:hAnsi="Century" w:cs="Times New Roman"/>
          <w:sz w:val="21"/>
          <w:szCs w:val="21"/>
        </w:rPr>
        <w:t>バンコク</w:t>
      </w:r>
      <w:r w:rsidR="00266C30" w:rsidRPr="00B855A3">
        <w:rPr>
          <w:rFonts w:ascii="Century" w:eastAsia="ＭＳ 明朝" w:hAnsi="Century" w:cs="Times New Roman"/>
          <w:sz w:val="21"/>
          <w:szCs w:val="21"/>
        </w:rPr>
        <w:t>には</w:t>
      </w:r>
      <w:r w:rsidRPr="00B855A3">
        <w:rPr>
          <w:rFonts w:ascii="Century" w:eastAsia="ＭＳ 明朝" w:hAnsi="Century" w:cs="Times New Roman"/>
          <w:sz w:val="21"/>
          <w:szCs w:val="21"/>
        </w:rPr>
        <w:t>568</w:t>
      </w:r>
      <w:r w:rsidR="00266C30" w:rsidRPr="00B855A3">
        <w:rPr>
          <w:rFonts w:ascii="Century" w:eastAsia="ＭＳ 明朝" w:hAnsi="Century" w:cs="Times New Roman"/>
          <w:sz w:val="21"/>
          <w:szCs w:val="21"/>
        </w:rPr>
        <w:t>万</w:t>
      </w:r>
      <w:r w:rsidR="00FA45F4" w:rsidRPr="00B855A3">
        <w:rPr>
          <w:rFonts w:ascii="Century" w:eastAsia="ＭＳ 明朝" w:hAnsi="Century" w:cs="Times New Roman"/>
          <w:sz w:val="21"/>
          <w:szCs w:val="21"/>
        </w:rPr>
        <w:t>人</w:t>
      </w:r>
      <w:r w:rsidR="00266C30" w:rsidRPr="00B855A3">
        <w:rPr>
          <w:rFonts w:ascii="Century" w:eastAsia="ＭＳ 明朝" w:hAnsi="Century" w:cs="Times New Roman"/>
          <w:sz w:val="21"/>
          <w:szCs w:val="21"/>
        </w:rPr>
        <w:t>が住んでいる。民族は</w:t>
      </w:r>
      <w:r w:rsidRPr="00B855A3">
        <w:rPr>
          <w:rFonts w:ascii="Century" w:eastAsia="ＭＳ 明朝" w:hAnsi="Century" w:cs="Times New Roman"/>
          <w:sz w:val="21"/>
          <w:szCs w:val="21"/>
        </w:rPr>
        <w:t>タイ</w:t>
      </w:r>
      <w:r w:rsidR="00266C30" w:rsidRPr="00B855A3">
        <w:rPr>
          <w:rFonts w:ascii="Century" w:eastAsia="ＭＳ 明朝" w:hAnsi="Century" w:cs="Times New Roman"/>
          <w:sz w:val="21"/>
          <w:szCs w:val="21"/>
        </w:rPr>
        <w:t>系が主体であり、ほかに中国系</w:t>
      </w:r>
      <w:r w:rsidRPr="00B855A3">
        <w:rPr>
          <w:rFonts w:ascii="Century" w:eastAsia="ＭＳ 明朝" w:hAnsi="Century" w:cs="Times New Roman"/>
          <w:sz w:val="21"/>
          <w:szCs w:val="21"/>
        </w:rPr>
        <w:t>及び、</w:t>
      </w:r>
      <w:r w:rsidR="00266C30" w:rsidRPr="00B855A3">
        <w:rPr>
          <w:rFonts w:ascii="Century" w:eastAsia="ＭＳ 明朝" w:hAnsi="Century" w:cs="Times New Roman"/>
          <w:sz w:val="21"/>
          <w:szCs w:val="21"/>
        </w:rPr>
        <w:t>それらとの混血ならびに少数民族がいる</w:t>
      </w:r>
      <w:r w:rsidR="0099455F" w:rsidRPr="00B855A3">
        <w:rPr>
          <w:rFonts w:ascii="Century" w:eastAsia="ＭＳ 明朝" w:hAnsi="Century" w:cs="Times New Roman"/>
          <w:sz w:val="21"/>
          <w:szCs w:val="21"/>
        </w:rPr>
        <w:t>。</w:t>
      </w:r>
      <w:r w:rsidR="00266C30" w:rsidRPr="00B855A3">
        <w:rPr>
          <w:rFonts w:ascii="Century" w:eastAsia="ＭＳ 明朝" w:hAnsi="Century" w:cs="Times New Roman"/>
          <w:sz w:val="21"/>
          <w:szCs w:val="21"/>
        </w:rPr>
        <w:t>公用語は</w:t>
      </w:r>
      <w:r w:rsidRPr="00B855A3">
        <w:rPr>
          <w:rFonts w:ascii="Century" w:eastAsia="ＭＳ 明朝" w:hAnsi="Century" w:cs="Times New Roman"/>
          <w:sz w:val="21"/>
          <w:szCs w:val="21"/>
        </w:rPr>
        <w:t>タイ</w:t>
      </w:r>
      <w:r w:rsidR="00266C30" w:rsidRPr="00B855A3">
        <w:rPr>
          <w:rFonts w:ascii="Century" w:eastAsia="ＭＳ 明朝" w:hAnsi="Century" w:cs="Times New Roman"/>
          <w:sz w:val="21"/>
          <w:szCs w:val="21"/>
        </w:rPr>
        <w:t>語である。宗教は、国民の</w:t>
      </w:r>
      <w:r w:rsidRPr="00B855A3">
        <w:rPr>
          <w:rFonts w:ascii="Century" w:eastAsia="ＭＳ 明朝" w:hAnsi="Century" w:cs="Times New Roman"/>
          <w:sz w:val="21"/>
          <w:szCs w:val="21"/>
        </w:rPr>
        <w:t>約</w:t>
      </w:r>
      <w:r w:rsidRPr="00B855A3">
        <w:rPr>
          <w:rFonts w:ascii="Century" w:eastAsia="ＭＳ 明朝" w:hAnsi="Century" w:cs="Times New Roman"/>
          <w:sz w:val="21"/>
          <w:szCs w:val="21"/>
        </w:rPr>
        <w:t>95</w:t>
      </w:r>
      <w:r w:rsidR="00266C30" w:rsidRPr="00B855A3">
        <w:rPr>
          <w:rFonts w:ascii="Century" w:eastAsia="ＭＳ 明朝" w:hAnsi="Century" w:cs="Times New Roman"/>
          <w:sz w:val="21"/>
          <w:szCs w:val="21"/>
        </w:rPr>
        <w:t>%</w:t>
      </w:r>
      <w:r w:rsidR="00266C30" w:rsidRPr="00B855A3">
        <w:rPr>
          <w:rFonts w:ascii="Century" w:eastAsia="ＭＳ 明朝" w:hAnsi="Century" w:cs="Times New Roman"/>
          <w:sz w:val="21"/>
          <w:szCs w:val="21"/>
        </w:rPr>
        <w:t>が</w:t>
      </w:r>
      <w:r w:rsidRPr="00B855A3">
        <w:rPr>
          <w:rFonts w:ascii="Century" w:eastAsia="ＭＳ 明朝" w:hAnsi="Century" w:cs="Times New Roman"/>
          <w:sz w:val="21"/>
          <w:szCs w:val="21"/>
        </w:rPr>
        <w:t>上座部仏教であり、イスラム教（４％）、キリスト教（</w:t>
      </w:r>
      <w:r w:rsidRPr="00B855A3">
        <w:rPr>
          <w:rFonts w:ascii="Century" w:eastAsia="ＭＳ 明朝" w:hAnsi="Century" w:cs="Times New Roman"/>
          <w:sz w:val="21"/>
          <w:szCs w:val="21"/>
        </w:rPr>
        <w:t>0.6</w:t>
      </w:r>
      <w:r w:rsidRPr="00B855A3">
        <w:rPr>
          <w:rFonts w:ascii="Century" w:eastAsia="ＭＳ 明朝" w:hAnsi="Century" w:cs="Times New Roman"/>
          <w:sz w:val="21"/>
          <w:szCs w:val="21"/>
        </w:rPr>
        <w:t>％）</w:t>
      </w:r>
      <w:r w:rsidR="00266C30" w:rsidRPr="00B855A3">
        <w:rPr>
          <w:rFonts w:ascii="Century" w:eastAsia="ＭＳ 明朝" w:hAnsi="Century" w:cs="Times New Roman"/>
          <w:sz w:val="21"/>
          <w:szCs w:val="21"/>
        </w:rPr>
        <w:t>である</w:t>
      </w:r>
      <w:r w:rsidR="0099455F" w:rsidRPr="00B855A3">
        <w:rPr>
          <w:rFonts w:ascii="Century" w:eastAsia="ＭＳ 明朝" w:hAnsi="Century" w:cs="Times New Roman"/>
          <w:sz w:val="21"/>
          <w:szCs w:val="21"/>
        </w:rPr>
        <w:t>。</w:t>
      </w:r>
      <w:r w:rsidRPr="00B855A3">
        <w:rPr>
          <w:rFonts w:ascii="Century" w:eastAsia="ＭＳ 明朝" w:hAnsi="Century" w:cs="Times New Roman"/>
          <w:sz w:val="21"/>
          <w:szCs w:val="21"/>
        </w:rPr>
        <w:t>タイの気候は熱帯モンスーン気候</w:t>
      </w:r>
      <w:r w:rsidR="004837B1" w:rsidRPr="00B855A3">
        <w:rPr>
          <w:rFonts w:ascii="Century" w:eastAsia="ＭＳ 明朝" w:hAnsi="Century" w:cs="Times New Roman"/>
          <w:sz w:val="21"/>
          <w:szCs w:val="21"/>
        </w:rPr>
        <w:t>（</w:t>
      </w:r>
      <w:r w:rsidR="004837B1" w:rsidRPr="00B855A3">
        <w:rPr>
          <w:rFonts w:ascii="Century" w:eastAsia="ＭＳ 明朝" w:hAnsi="Century" w:cs="Times New Roman"/>
          <w:sz w:val="21"/>
          <w:szCs w:val="21"/>
        </w:rPr>
        <w:t>Am</w:t>
      </w:r>
      <w:r w:rsidR="004837B1" w:rsidRPr="00B855A3">
        <w:rPr>
          <w:rFonts w:ascii="Century" w:eastAsia="ＭＳ 明朝" w:hAnsi="Century" w:cs="Times New Roman"/>
          <w:sz w:val="21"/>
          <w:szCs w:val="21"/>
        </w:rPr>
        <w:t>）</w:t>
      </w:r>
      <w:r w:rsidRPr="00B855A3">
        <w:rPr>
          <w:rFonts w:ascii="Century" w:eastAsia="ＭＳ 明朝" w:hAnsi="Century" w:cs="Times New Roman"/>
          <w:sz w:val="21"/>
          <w:szCs w:val="21"/>
        </w:rPr>
        <w:t>であり、</w:t>
      </w:r>
      <w:r w:rsidR="004837B1" w:rsidRPr="00B855A3">
        <w:rPr>
          <w:rFonts w:ascii="Century" w:eastAsia="ＭＳ 明朝" w:hAnsi="Century" w:cs="Times New Roman"/>
          <w:sz w:val="21"/>
          <w:szCs w:val="21"/>
        </w:rPr>
        <w:t>大きく</w:t>
      </w:r>
      <w:r w:rsidRPr="00B855A3">
        <w:rPr>
          <w:rFonts w:ascii="Century" w:eastAsia="ＭＳ 明朝" w:hAnsi="Century" w:cs="Times New Roman"/>
          <w:sz w:val="21"/>
          <w:szCs w:val="21"/>
        </w:rPr>
        <w:t>雨期と乾期に</w:t>
      </w:r>
      <w:r w:rsidR="004837B1" w:rsidRPr="00B855A3">
        <w:rPr>
          <w:rFonts w:ascii="Century" w:eastAsia="ＭＳ 明朝" w:hAnsi="Century" w:cs="Times New Roman"/>
          <w:sz w:val="21"/>
          <w:szCs w:val="21"/>
        </w:rPr>
        <w:t>季節が分かれる。首都</w:t>
      </w:r>
      <w:r w:rsidRPr="00B855A3">
        <w:rPr>
          <w:rFonts w:ascii="Century" w:eastAsia="ＭＳ 明朝" w:hAnsi="Century" w:cs="Times New Roman"/>
          <w:sz w:val="21"/>
          <w:szCs w:val="21"/>
        </w:rPr>
        <w:t>バンコク</w:t>
      </w:r>
      <w:r w:rsidR="004837B1" w:rsidRPr="00B855A3">
        <w:rPr>
          <w:rFonts w:ascii="Century" w:eastAsia="ＭＳ 明朝" w:hAnsi="Century" w:cs="Times New Roman"/>
          <w:sz w:val="21"/>
          <w:szCs w:val="21"/>
        </w:rPr>
        <w:t>の</w:t>
      </w:r>
      <w:r w:rsidRPr="00B855A3">
        <w:rPr>
          <w:rFonts w:ascii="Century" w:eastAsia="ＭＳ 明朝" w:hAnsi="Century" w:cs="Times New Roman"/>
          <w:sz w:val="21"/>
          <w:szCs w:val="21"/>
        </w:rPr>
        <w:t>年間平均気温は</w:t>
      </w:r>
      <w:r w:rsidRPr="00B855A3">
        <w:rPr>
          <w:rFonts w:ascii="Century" w:eastAsia="ＭＳ 明朝" w:hAnsi="Century" w:cs="Times New Roman"/>
          <w:sz w:val="21"/>
          <w:szCs w:val="21"/>
        </w:rPr>
        <w:t>29</w:t>
      </w:r>
      <w:r w:rsidRPr="00B855A3">
        <w:rPr>
          <w:rFonts w:ascii="ＭＳ 明朝" w:eastAsia="ＭＳ 明朝" w:hAnsi="ＭＳ 明朝" w:cs="ＭＳ 明朝" w:hint="eastAsia"/>
          <w:sz w:val="21"/>
          <w:szCs w:val="21"/>
        </w:rPr>
        <w:t>℃</w:t>
      </w:r>
      <w:r w:rsidR="004837B1" w:rsidRPr="00B855A3">
        <w:rPr>
          <w:rFonts w:ascii="Century" w:eastAsia="ＭＳ 明朝" w:hAnsi="Century" w:cs="Times New Roman"/>
          <w:sz w:val="21"/>
          <w:szCs w:val="21"/>
        </w:rPr>
        <w:t>で</w:t>
      </w:r>
      <w:r w:rsidRPr="00B855A3">
        <w:rPr>
          <w:rFonts w:ascii="Century" w:eastAsia="ＭＳ 明朝" w:hAnsi="Century" w:cs="Times New Roman"/>
          <w:sz w:val="21"/>
          <w:szCs w:val="21"/>
        </w:rPr>
        <w:t>、平均湿度</w:t>
      </w:r>
      <w:r w:rsidRPr="00B855A3">
        <w:rPr>
          <w:rFonts w:ascii="Century" w:eastAsia="ＭＳ 明朝" w:hAnsi="Century" w:cs="Times New Roman"/>
          <w:sz w:val="21"/>
          <w:szCs w:val="21"/>
        </w:rPr>
        <w:t>73%</w:t>
      </w:r>
      <w:r w:rsidRPr="00B855A3">
        <w:rPr>
          <w:rFonts w:ascii="Century" w:eastAsia="ＭＳ 明朝" w:hAnsi="Century" w:cs="Times New Roman"/>
          <w:sz w:val="21"/>
          <w:szCs w:val="21"/>
        </w:rPr>
        <w:t>（</w:t>
      </w:r>
      <w:r w:rsidRPr="00B855A3">
        <w:rPr>
          <w:rFonts w:ascii="Century" w:eastAsia="ＭＳ 明朝" w:hAnsi="Century" w:cs="Times New Roman"/>
          <w:sz w:val="21"/>
          <w:szCs w:val="21"/>
        </w:rPr>
        <w:t>2014</w:t>
      </w:r>
      <w:r w:rsidRPr="00B855A3">
        <w:rPr>
          <w:rFonts w:ascii="Century" w:eastAsia="ＭＳ 明朝" w:hAnsi="Century" w:cs="Times New Roman"/>
          <w:sz w:val="21"/>
          <w:szCs w:val="21"/>
        </w:rPr>
        <w:t>年）と高温多湿で年中蒸し暑</w:t>
      </w:r>
      <w:r w:rsidR="00390709" w:rsidRPr="00B855A3">
        <w:rPr>
          <w:rFonts w:ascii="Century" w:eastAsia="ＭＳ 明朝" w:hAnsi="Century" w:cs="Times New Roman"/>
          <w:sz w:val="21"/>
          <w:szCs w:val="21"/>
        </w:rPr>
        <w:t>い。</w:t>
      </w:r>
      <w:r w:rsidRPr="00B855A3">
        <w:rPr>
          <w:rFonts w:ascii="Century" w:eastAsia="ＭＳ 明朝" w:hAnsi="Century" w:cs="Times New Roman"/>
          <w:sz w:val="21"/>
          <w:szCs w:val="21"/>
        </w:rPr>
        <w:t>4</w:t>
      </w:r>
      <w:r w:rsidRPr="00B855A3">
        <w:rPr>
          <w:rFonts w:ascii="Century" w:eastAsia="ＭＳ 明朝" w:hAnsi="Century" w:cs="Times New Roman"/>
          <w:sz w:val="21"/>
          <w:szCs w:val="21"/>
        </w:rPr>
        <w:t>～</w:t>
      </w:r>
      <w:r w:rsidRPr="00B855A3">
        <w:rPr>
          <w:rFonts w:ascii="Century" w:eastAsia="ＭＳ 明朝" w:hAnsi="Century" w:cs="Times New Roman"/>
          <w:sz w:val="21"/>
          <w:szCs w:val="21"/>
        </w:rPr>
        <w:t>5</w:t>
      </w:r>
      <w:r w:rsidRPr="00B855A3">
        <w:rPr>
          <w:rFonts w:ascii="Century" w:eastAsia="ＭＳ 明朝" w:hAnsi="Century" w:cs="Times New Roman"/>
          <w:sz w:val="21"/>
          <w:szCs w:val="21"/>
        </w:rPr>
        <w:t>月が最も暑く、日中は気温が</w:t>
      </w:r>
      <w:r w:rsidRPr="00B855A3">
        <w:rPr>
          <w:rFonts w:ascii="Century" w:eastAsia="ＭＳ 明朝" w:hAnsi="Century" w:cs="Times New Roman"/>
          <w:sz w:val="21"/>
          <w:szCs w:val="21"/>
        </w:rPr>
        <w:t>40</w:t>
      </w:r>
      <w:r w:rsidRPr="00B855A3">
        <w:rPr>
          <w:rFonts w:ascii="ＭＳ 明朝" w:eastAsia="ＭＳ 明朝" w:hAnsi="ＭＳ 明朝" w:cs="ＭＳ 明朝" w:hint="eastAsia"/>
          <w:sz w:val="21"/>
          <w:szCs w:val="21"/>
        </w:rPr>
        <w:t>℃</w:t>
      </w:r>
      <w:r w:rsidRPr="00B855A3">
        <w:rPr>
          <w:rFonts w:ascii="Century" w:eastAsia="ＭＳ 明朝" w:hAnsi="Century" w:cs="Times New Roman"/>
          <w:sz w:val="21"/>
          <w:szCs w:val="21"/>
        </w:rPr>
        <w:t>近い日もあ</w:t>
      </w:r>
      <w:r w:rsidR="004837B1" w:rsidRPr="00B855A3">
        <w:rPr>
          <w:rFonts w:ascii="Century" w:eastAsia="ＭＳ 明朝" w:hAnsi="Century" w:cs="Times New Roman"/>
          <w:sz w:val="21"/>
          <w:szCs w:val="21"/>
        </w:rPr>
        <w:t>り、</w:t>
      </w:r>
      <w:r w:rsidRPr="00B855A3">
        <w:rPr>
          <w:rFonts w:ascii="Century" w:eastAsia="ＭＳ 明朝" w:hAnsi="Century" w:cs="Times New Roman"/>
          <w:sz w:val="21"/>
          <w:szCs w:val="21"/>
        </w:rPr>
        <w:t>夜も蒸し暑いため、一日中冷房を必要とする日が多い。</w:t>
      </w:r>
      <w:r w:rsidRPr="00B855A3">
        <w:rPr>
          <w:rFonts w:ascii="Century" w:eastAsia="ＭＳ 明朝" w:hAnsi="Century" w:cs="Times New Roman"/>
          <w:sz w:val="21"/>
          <w:szCs w:val="21"/>
        </w:rPr>
        <w:t>6</w:t>
      </w:r>
      <w:r w:rsidRPr="00B855A3">
        <w:rPr>
          <w:rFonts w:ascii="Century" w:eastAsia="ＭＳ 明朝" w:hAnsi="Century" w:cs="Times New Roman"/>
          <w:sz w:val="21"/>
          <w:szCs w:val="21"/>
        </w:rPr>
        <w:t>～</w:t>
      </w:r>
      <w:r w:rsidRPr="00B855A3">
        <w:rPr>
          <w:rFonts w:ascii="Century" w:eastAsia="ＭＳ 明朝" w:hAnsi="Century" w:cs="Times New Roman"/>
          <w:sz w:val="21"/>
          <w:szCs w:val="21"/>
        </w:rPr>
        <w:t>10</w:t>
      </w:r>
      <w:r w:rsidRPr="00B855A3">
        <w:rPr>
          <w:rFonts w:ascii="Century" w:eastAsia="ＭＳ 明朝" w:hAnsi="Century" w:cs="Times New Roman"/>
          <w:sz w:val="21"/>
          <w:szCs w:val="21"/>
        </w:rPr>
        <w:t>月の雨期には毎日</w:t>
      </w:r>
      <w:r w:rsidRPr="00B855A3">
        <w:rPr>
          <w:rFonts w:ascii="Century" w:eastAsia="ＭＳ 明朝" w:hAnsi="Century" w:cs="Times New Roman"/>
          <w:sz w:val="21"/>
          <w:szCs w:val="21"/>
        </w:rPr>
        <w:t>1</w:t>
      </w:r>
      <w:r w:rsidRPr="00B855A3">
        <w:rPr>
          <w:rFonts w:ascii="Century" w:eastAsia="ＭＳ 明朝" w:hAnsi="Century" w:cs="Times New Roman"/>
          <w:sz w:val="21"/>
          <w:szCs w:val="21"/>
        </w:rPr>
        <w:t>～</w:t>
      </w:r>
      <w:r w:rsidRPr="00B855A3">
        <w:rPr>
          <w:rFonts w:ascii="Century" w:eastAsia="ＭＳ 明朝" w:hAnsi="Century" w:cs="Times New Roman"/>
          <w:sz w:val="21"/>
          <w:szCs w:val="21"/>
        </w:rPr>
        <w:t>2</w:t>
      </w:r>
      <w:r w:rsidRPr="00B855A3">
        <w:rPr>
          <w:rFonts w:ascii="Century" w:eastAsia="ＭＳ 明朝" w:hAnsi="Century" w:cs="Times New Roman"/>
          <w:sz w:val="21"/>
          <w:szCs w:val="21"/>
        </w:rPr>
        <w:t>時間</w:t>
      </w:r>
      <w:r w:rsidR="004837B1" w:rsidRPr="00B855A3">
        <w:rPr>
          <w:rFonts w:ascii="Century" w:eastAsia="ＭＳ 明朝" w:hAnsi="Century" w:cs="Times New Roman"/>
          <w:sz w:val="21"/>
          <w:szCs w:val="21"/>
        </w:rPr>
        <w:t>スコール</w:t>
      </w:r>
      <w:r w:rsidR="00E3248D">
        <w:rPr>
          <w:rFonts w:ascii="Century" w:eastAsia="ＭＳ 明朝" w:hAnsi="Century" w:cs="Times New Roman" w:hint="eastAsia"/>
          <w:sz w:val="21"/>
          <w:szCs w:val="21"/>
        </w:rPr>
        <w:t>となり</w:t>
      </w:r>
      <w:r w:rsidR="009D0099" w:rsidRPr="00B855A3">
        <w:rPr>
          <w:rFonts w:ascii="Century" w:eastAsia="ＭＳ 明朝" w:hAnsi="Century" w:cs="Times New Roman"/>
          <w:sz w:val="21"/>
          <w:szCs w:val="21"/>
        </w:rPr>
        <w:t>、</w:t>
      </w:r>
      <w:r w:rsidR="00390709" w:rsidRPr="00B855A3">
        <w:rPr>
          <w:rFonts w:ascii="Century" w:eastAsia="ＭＳ 明朝" w:hAnsi="Century" w:cs="Times New Roman"/>
          <w:sz w:val="21"/>
          <w:szCs w:val="21"/>
        </w:rPr>
        <w:t>バンコク</w:t>
      </w:r>
      <w:r w:rsidRPr="00B855A3">
        <w:rPr>
          <w:rFonts w:ascii="Century" w:eastAsia="ＭＳ 明朝" w:hAnsi="Century" w:cs="Times New Roman"/>
          <w:sz w:val="21"/>
          <w:szCs w:val="21"/>
        </w:rPr>
        <w:t>市内では各所で道路が冠水し、交通渋滞を引き起こす。</w:t>
      </w:r>
      <w:r w:rsidRPr="00B855A3">
        <w:rPr>
          <w:rFonts w:ascii="Century" w:eastAsia="ＭＳ 明朝" w:hAnsi="Century" w:cs="Times New Roman"/>
          <w:sz w:val="21"/>
          <w:szCs w:val="21"/>
        </w:rPr>
        <w:t>11</w:t>
      </w:r>
      <w:r w:rsidRPr="00B855A3">
        <w:rPr>
          <w:rFonts w:ascii="Century" w:eastAsia="ＭＳ 明朝" w:hAnsi="Century" w:cs="Times New Roman"/>
          <w:sz w:val="21"/>
          <w:szCs w:val="21"/>
        </w:rPr>
        <w:t>～</w:t>
      </w:r>
      <w:r w:rsidRPr="00B855A3">
        <w:rPr>
          <w:rFonts w:ascii="Century" w:eastAsia="ＭＳ 明朝" w:hAnsi="Century" w:cs="Times New Roman"/>
          <w:sz w:val="21"/>
          <w:szCs w:val="21"/>
        </w:rPr>
        <w:t>5</w:t>
      </w:r>
      <w:r w:rsidRPr="00B855A3">
        <w:rPr>
          <w:rFonts w:ascii="Century" w:eastAsia="ＭＳ 明朝" w:hAnsi="Century" w:cs="Times New Roman"/>
          <w:sz w:val="21"/>
          <w:szCs w:val="21"/>
        </w:rPr>
        <w:t>月が乾期であるが、</w:t>
      </w:r>
      <w:r w:rsidRPr="00B855A3">
        <w:rPr>
          <w:rFonts w:ascii="Century" w:eastAsia="ＭＳ 明朝" w:hAnsi="Century" w:cs="Times New Roman"/>
          <w:sz w:val="21"/>
          <w:szCs w:val="21"/>
        </w:rPr>
        <w:t>11</w:t>
      </w:r>
      <w:r w:rsidRPr="00B855A3">
        <w:rPr>
          <w:rFonts w:ascii="Century" w:eastAsia="ＭＳ 明朝" w:hAnsi="Century" w:cs="Times New Roman"/>
          <w:sz w:val="21"/>
          <w:szCs w:val="21"/>
        </w:rPr>
        <w:t>月中旬からの約</w:t>
      </w:r>
      <w:r w:rsidRPr="00B855A3">
        <w:rPr>
          <w:rFonts w:ascii="Century" w:eastAsia="ＭＳ 明朝" w:hAnsi="Century" w:cs="Times New Roman"/>
          <w:sz w:val="21"/>
          <w:szCs w:val="21"/>
        </w:rPr>
        <w:t>2</w:t>
      </w:r>
      <w:r w:rsidRPr="00B855A3">
        <w:rPr>
          <w:rFonts w:ascii="Century" w:eastAsia="ＭＳ 明朝" w:hAnsi="Century" w:cs="Times New Roman"/>
          <w:sz w:val="21"/>
          <w:szCs w:val="21"/>
        </w:rPr>
        <w:t>カ月間は最も気候の良い時期で、夜間及び朝方はタオルケットか毛布を必要とする程涼しく感じる。</w:t>
      </w:r>
    </w:p>
    <w:p w14:paraId="54E4613A" w14:textId="6D43E3A2" w:rsidR="00C90483" w:rsidRPr="00B855A3" w:rsidRDefault="00F21EE2" w:rsidP="00D6085D">
      <w:pPr>
        <w:ind w:firstLineChars="100" w:firstLine="210"/>
        <w:rPr>
          <w:rFonts w:ascii="Century" w:eastAsia="ＭＳ 明朝" w:hAnsi="Century" w:cs="Times New Roman"/>
          <w:szCs w:val="21"/>
        </w:rPr>
      </w:pPr>
      <w:r w:rsidRPr="00B855A3">
        <w:rPr>
          <w:rFonts w:ascii="Century" w:eastAsia="ＭＳ 明朝" w:hAnsi="Century" w:cs="Times New Roman"/>
          <w:szCs w:val="21"/>
        </w:rPr>
        <w:t>タイ</w:t>
      </w:r>
      <w:r w:rsidR="00D80E6C" w:rsidRPr="00B855A3">
        <w:rPr>
          <w:rFonts w:ascii="Century" w:eastAsia="ＭＳ 明朝" w:hAnsi="Century" w:cs="Times New Roman"/>
          <w:szCs w:val="21"/>
        </w:rPr>
        <w:t>の名目ＧＤＰは</w:t>
      </w:r>
      <w:r w:rsidRPr="00B855A3">
        <w:rPr>
          <w:rFonts w:ascii="Century" w:eastAsia="ＭＳ 明朝" w:hAnsi="Century" w:cs="Times New Roman"/>
          <w:szCs w:val="21"/>
        </w:rPr>
        <w:t>4,872</w:t>
      </w:r>
      <w:r w:rsidR="00D80E6C" w:rsidRPr="00B855A3">
        <w:rPr>
          <w:rFonts w:ascii="Century" w:eastAsia="ＭＳ 明朝" w:hAnsi="Century" w:cs="Times New Roman"/>
          <w:szCs w:val="21"/>
        </w:rPr>
        <w:t>億ドル（</w:t>
      </w:r>
      <w:r w:rsidR="00D80E6C" w:rsidRPr="00B855A3">
        <w:rPr>
          <w:rFonts w:ascii="Century" w:eastAsia="ＭＳ 明朝" w:hAnsi="Century" w:cs="Times New Roman"/>
          <w:szCs w:val="21"/>
        </w:rPr>
        <w:t>201</w:t>
      </w:r>
      <w:r w:rsidRPr="00B855A3">
        <w:rPr>
          <w:rFonts w:ascii="Century" w:eastAsia="ＭＳ 明朝" w:hAnsi="Century" w:cs="Times New Roman"/>
          <w:szCs w:val="21"/>
        </w:rPr>
        <w:t>8</w:t>
      </w:r>
      <w:r w:rsidR="00D80E6C" w:rsidRPr="00B855A3">
        <w:rPr>
          <w:rFonts w:ascii="Century" w:eastAsia="ＭＳ 明朝" w:hAnsi="Century" w:cs="Times New Roman"/>
          <w:szCs w:val="21"/>
        </w:rPr>
        <w:t>年</w:t>
      </w:r>
      <w:r w:rsidRPr="00B855A3">
        <w:rPr>
          <w:rFonts w:ascii="Century" w:eastAsia="ＭＳ 明朝" w:hAnsi="Century" w:cs="Times New Roman"/>
          <w:szCs w:val="21"/>
        </w:rPr>
        <w:t>、</w:t>
      </w:r>
      <w:r w:rsidR="00F13F67">
        <w:rPr>
          <w:rFonts w:ascii="Century" w:eastAsia="ＭＳ 明朝" w:hAnsi="Century" w:cs="Times New Roman" w:hint="eastAsia"/>
          <w:szCs w:val="21"/>
        </w:rPr>
        <w:t>I</w:t>
      </w:r>
      <w:r w:rsidR="00F13F67">
        <w:rPr>
          <w:rFonts w:ascii="Century" w:eastAsia="ＭＳ 明朝" w:hAnsi="Century" w:cs="Times New Roman"/>
          <w:szCs w:val="21"/>
        </w:rPr>
        <w:t>MF</w:t>
      </w:r>
      <w:r w:rsidR="002B0171">
        <w:rPr>
          <w:rStyle w:val="a5"/>
          <w:rFonts w:ascii="Century" w:eastAsia="ＭＳ 明朝" w:hAnsi="Century" w:cs="Times New Roman"/>
          <w:szCs w:val="21"/>
        </w:rPr>
        <w:footnoteReference w:id="1"/>
      </w:r>
      <w:r w:rsidR="00D80E6C" w:rsidRPr="00B855A3">
        <w:rPr>
          <w:rFonts w:ascii="Century" w:eastAsia="ＭＳ 明朝" w:hAnsi="Century" w:cs="Times New Roman"/>
          <w:szCs w:val="21"/>
        </w:rPr>
        <w:t>）であり、アセアン諸国の中で、インドネシアに</w:t>
      </w:r>
      <w:r w:rsidRPr="00B855A3">
        <w:rPr>
          <w:rFonts w:ascii="Century" w:eastAsia="ＭＳ 明朝" w:hAnsi="Century" w:cs="Times New Roman"/>
          <w:szCs w:val="21"/>
        </w:rPr>
        <w:t>次いで２</w:t>
      </w:r>
      <w:r w:rsidR="00D80E6C" w:rsidRPr="00B855A3">
        <w:rPr>
          <w:rFonts w:ascii="Century" w:eastAsia="ＭＳ 明朝" w:hAnsi="Century" w:cs="Times New Roman"/>
          <w:szCs w:val="21"/>
        </w:rPr>
        <w:t>番目である。また一人当たりＧＤＰで見ると、シンガポール、ブルネイ、マレーシアに次いで</w:t>
      </w:r>
      <w:r w:rsidRPr="00B855A3">
        <w:rPr>
          <w:rFonts w:ascii="Century" w:eastAsia="ＭＳ 明朝" w:hAnsi="Century" w:cs="Times New Roman"/>
          <w:szCs w:val="21"/>
        </w:rPr>
        <w:t>4</w:t>
      </w:r>
      <w:r w:rsidR="00D80E6C" w:rsidRPr="00B855A3">
        <w:rPr>
          <w:rFonts w:ascii="Century" w:eastAsia="ＭＳ 明朝" w:hAnsi="Century" w:cs="Times New Roman"/>
          <w:szCs w:val="21"/>
        </w:rPr>
        <w:t>番目である。</w:t>
      </w:r>
      <w:r w:rsidR="00266C30" w:rsidRPr="00B855A3">
        <w:rPr>
          <w:rFonts w:ascii="Century" w:eastAsia="ＭＳ 明朝" w:hAnsi="Century" w:cs="Times New Roman"/>
          <w:szCs w:val="21"/>
        </w:rPr>
        <w:t>実質</w:t>
      </w:r>
      <w:r w:rsidR="00266C30" w:rsidRPr="00B855A3">
        <w:rPr>
          <w:rFonts w:ascii="Century" w:eastAsia="ＭＳ 明朝" w:hAnsi="Century" w:cs="Times New Roman"/>
          <w:szCs w:val="21"/>
        </w:rPr>
        <w:t>GDP</w:t>
      </w:r>
      <w:r w:rsidR="00266C30" w:rsidRPr="00B855A3">
        <w:rPr>
          <w:rFonts w:ascii="Century" w:eastAsia="ＭＳ 明朝" w:hAnsi="Century" w:cs="Times New Roman"/>
          <w:szCs w:val="21"/>
        </w:rPr>
        <w:t>の成長率は</w:t>
      </w:r>
      <w:r w:rsidRPr="00B855A3">
        <w:rPr>
          <w:rFonts w:ascii="Century" w:eastAsia="ＭＳ 明朝" w:hAnsi="Century" w:cs="Times New Roman"/>
          <w:szCs w:val="21"/>
        </w:rPr>
        <w:t>4.1</w:t>
      </w:r>
      <w:r w:rsidR="00266C30" w:rsidRPr="00B855A3">
        <w:rPr>
          <w:rFonts w:ascii="Century" w:eastAsia="ＭＳ 明朝" w:hAnsi="Century" w:cs="Times New Roman"/>
          <w:szCs w:val="21"/>
        </w:rPr>
        <w:t>%</w:t>
      </w:r>
      <w:r w:rsidRPr="00B855A3">
        <w:rPr>
          <w:rFonts w:ascii="Century" w:eastAsia="ＭＳ 明朝" w:hAnsi="Century" w:cs="Times New Roman"/>
          <w:szCs w:val="21"/>
        </w:rPr>
        <w:t>（</w:t>
      </w:r>
      <w:r w:rsidRPr="00B855A3">
        <w:rPr>
          <w:rFonts w:ascii="Century" w:eastAsia="ＭＳ 明朝" w:hAnsi="Century" w:cs="Times New Roman"/>
          <w:szCs w:val="21"/>
        </w:rPr>
        <w:t>2018</w:t>
      </w:r>
      <w:r w:rsidRPr="00B855A3">
        <w:rPr>
          <w:rFonts w:ascii="Century" w:eastAsia="ＭＳ 明朝" w:hAnsi="Century" w:cs="Times New Roman"/>
          <w:szCs w:val="21"/>
        </w:rPr>
        <w:t>年、</w:t>
      </w:r>
      <w:r w:rsidRPr="00B855A3">
        <w:rPr>
          <w:rFonts w:ascii="Century" w:eastAsia="ＭＳ 明朝" w:hAnsi="Century" w:cs="Times New Roman"/>
          <w:szCs w:val="21"/>
        </w:rPr>
        <w:t>NESDC</w:t>
      </w:r>
      <w:r w:rsidR="002B0171">
        <w:rPr>
          <w:rStyle w:val="a5"/>
          <w:rFonts w:ascii="Century" w:eastAsia="ＭＳ 明朝" w:hAnsi="Century" w:cs="Times New Roman"/>
          <w:szCs w:val="21"/>
        </w:rPr>
        <w:footnoteReference w:id="2"/>
      </w:r>
      <w:r w:rsidRPr="00B855A3">
        <w:rPr>
          <w:rFonts w:ascii="Century" w:eastAsia="ＭＳ 明朝" w:hAnsi="Century" w:cs="Times New Roman"/>
          <w:szCs w:val="21"/>
        </w:rPr>
        <w:t>）</w:t>
      </w:r>
      <w:r w:rsidR="00266C30" w:rsidRPr="00B855A3">
        <w:rPr>
          <w:rFonts w:ascii="Century" w:eastAsia="ＭＳ 明朝" w:hAnsi="Century" w:cs="Times New Roman"/>
          <w:szCs w:val="21"/>
        </w:rPr>
        <w:t>であり経済は好調である。</w:t>
      </w:r>
      <w:r w:rsidR="00D80E6C" w:rsidRPr="00B855A3">
        <w:rPr>
          <w:rFonts w:ascii="Century" w:eastAsia="ＭＳ 明朝" w:hAnsi="Century" w:cs="Times New Roman"/>
          <w:szCs w:val="21"/>
        </w:rPr>
        <w:t>産業構成</w:t>
      </w:r>
      <w:r w:rsidRPr="00B855A3">
        <w:rPr>
          <w:rFonts w:ascii="Century" w:eastAsia="ＭＳ 明朝" w:hAnsi="Century" w:cs="Times New Roman"/>
          <w:szCs w:val="21"/>
        </w:rPr>
        <w:t>は</w:t>
      </w:r>
      <w:r w:rsidR="00D80E6C" w:rsidRPr="00B855A3">
        <w:rPr>
          <w:rFonts w:ascii="Century" w:eastAsia="ＭＳ 明朝" w:hAnsi="Century" w:cs="Times New Roman"/>
          <w:szCs w:val="21"/>
        </w:rPr>
        <w:t>製造業が主であり、農林水産業の名目</w:t>
      </w:r>
      <w:r w:rsidR="00D80E6C" w:rsidRPr="00B855A3">
        <w:rPr>
          <w:rFonts w:ascii="Century" w:eastAsia="ＭＳ 明朝" w:hAnsi="Century" w:cs="Times New Roman"/>
          <w:szCs w:val="21"/>
        </w:rPr>
        <w:t>GDP</w:t>
      </w:r>
      <w:r w:rsidR="00D80E6C" w:rsidRPr="00B855A3">
        <w:rPr>
          <w:rFonts w:ascii="Century" w:eastAsia="ＭＳ 明朝" w:hAnsi="Century" w:cs="Times New Roman"/>
          <w:szCs w:val="21"/>
        </w:rPr>
        <w:t>に占める割合は</w:t>
      </w:r>
      <w:r w:rsidRPr="00B855A3">
        <w:rPr>
          <w:rFonts w:ascii="Century" w:eastAsia="ＭＳ 明朝" w:hAnsi="Century" w:cs="Times New Roman"/>
          <w:szCs w:val="21"/>
        </w:rPr>
        <w:t>12</w:t>
      </w:r>
      <w:r w:rsidR="00D80E6C" w:rsidRPr="00B855A3">
        <w:rPr>
          <w:rFonts w:ascii="Century" w:eastAsia="ＭＳ 明朝" w:hAnsi="Century" w:cs="Times New Roman"/>
          <w:szCs w:val="21"/>
        </w:rPr>
        <w:t>%</w:t>
      </w:r>
      <w:r w:rsidR="00D80E6C" w:rsidRPr="00B855A3">
        <w:rPr>
          <w:rFonts w:ascii="Century" w:eastAsia="ＭＳ 明朝" w:hAnsi="Century" w:cs="Times New Roman"/>
          <w:szCs w:val="21"/>
        </w:rPr>
        <w:t>と少ない。</w:t>
      </w:r>
      <w:r w:rsidR="0064733A" w:rsidRPr="00B855A3">
        <w:rPr>
          <w:rFonts w:ascii="Century" w:eastAsia="ＭＳ 明朝" w:hAnsi="Century" w:cs="Times New Roman"/>
          <w:szCs w:val="21"/>
        </w:rPr>
        <w:t>しかし、</w:t>
      </w:r>
      <w:r w:rsidR="00D80E6C" w:rsidRPr="00B855A3">
        <w:rPr>
          <w:rFonts w:ascii="Century" w:eastAsia="ＭＳ 明朝" w:hAnsi="Century" w:cs="Times New Roman"/>
          <w:szCs w:val="21"/>
        </w:rPr>
        <w:t>就業人口で見ると依然として全就業人口の約</w:t>
      </w:r>
      <w:r w:rsidRPr="00B855A3">
        <w:rPr>
          <w:rFonts w:ascii="Century" w:eastAsia="ＭＳ 明朝" w:hAnsi="Century" w:cs="Times New Roman"/>
          <w:szCs w:val="21"/>
        </w:rPr>
        <w:t>40</w:t>
      </w:r>
      <w:r w:rsidR="00D80E6C" w:rsidRPr="00B855A3">
        <w:rPr>
          <w:rFonts w:ascii="Century" w:eastAsia="ＭＳ 明朝" w:hAnsi="Century" w:cs="Times New Roman"/>
          <w:szCs w:val="21"/>
        </w:rPr>
        <w:t>％が農業に従事しており</w:t>
      </w:r>
      <w:r w:rsidR="007A189C" w:rsidRPr="00B855A3">
        <w:rPr>
          <w:rFonts w:ascii="Century" w:eastAsia="ＭＳ 明朝" w:hAnsi="Century" w:cs="Times New Roman"/>
          <w:szCs w:val="21"/>
        </w:rPr>
        <w:t>重要な産業であることがわかる。</w:t>
      </w:r>
    </w:p>
    <w:p w14:paraId="5872DF36" w14:textId="77777777" w:rsidR="007A189C" w:rsidRPr="00B855A3" w:rsidRDefault="007A189C" w:rsidP="007A189C">
      <w:pPr>
        <w:ind w:firstLineChars="100" w:firstLine="210"/>
        <w:rPr>
          <w:rFonts w:ascii="Century" w:eastAsia="ＭＳ 明朝" w:hAnsi="Century" w:cs="Times New Roman"/>
          <w:szCs w:val="21"/>
        </w:rPr>
      </w:pPr>
    </w:p>
    <w:p w14:paraId="49E9FF19" w14:textId="61AE4F5A" w:rsidR="00E45D5F" w:rsidRPr="00B855A3" w:rsidRDefault="00E45D5F">
      <w:pPr>
        <w:rPr>
          <w:rFonts w:ascii="Century" w:eastAsia="ＭＳ 明朝" w:hAnsi="Century" w:cs="Times New Roman"/>
          <w:b/>
          <w:szCs w:val="21"/>
        </w:rPr>
      </w:pPr>
      <w:r w:rsidRPr="00B855A3">
        <w:rPr>
          <w:rFonts w:ascii="Century" w:eastAsia="ＭＳ 明朝" w:hAnsi="Century" w:cs="Times New Roman"/>
          <w:b/>
          <w:szCs w:val="21"/>
        </w:rPr>
        <w:t>２．</w:t>
      </w:r>
      <w:r w:rsidR="008C0F9F" w:rsidRPr="00B855A3">
        <w:rPr>
          <w:rFonts w:ascii="Century" w:eastAsia="ＭＳ 明朝" w:hAnsi="Century" w:cs="Times New Roman"/>
          <w:b/>
          <w:szCs w:val="21"/>
        </w:rPr>
        <w:t>タイ</w:t>
      </w:r>
      <w:r w:rsidRPr="00B855A3">
        <w:rPr>
          <w:rFonts w:ascii="Century" w:eastAsia="ＭＳ 明朝" w:hAnsi="Century" w:cs="Times New Roman"/>
          <w:b/>
          <w:szCs w:val="21"/>
        </w:rPr>
        <w:t>の農業</w:t>
      </w:r>
      <w:r w:rsidR="00216C88" w:rsidRPr="00B855A3">
        <w:rPr>
          <w:rFonts w:ascii="Century" w:eastAsia="ＭＳ 明朝" w:hAnsi="Century" w:cs="Times New Roman"/>
          <w:b/>
          <w:szCs w:val="21"/>
        </w:rPr>
        <w:t>概況</w:t>
      </w:r>
    </w:p>
    <w:p w14:paraId="772724CE" w14:textId="056A53DA" w:rsidR="00AD7094" w:rsidRPr="00B855A3" w:rsidRDefault="00AD7094" w:rsidP="00AD7094">
      <w:pPr>
        <w:rPr>
          <w:rFonts w:ascii="Century" w:eastAsia="ＭＳ 明朝" w:hAnsi="Century" w:cs="Times New Roman"/>
          <w:bCs/>
          <w:szCs w:val="21"/>
        </w:rPr>
      </w:pPr>
      <w:r w:rsidRPr="00B855A3">
        <w:rPr>
          <w:rFonts w:ascii="Century" w:eastAsia="ＭＳ 明朝" w:hAnsi="Century" w:cs="Times New Roman"/>
          <w:b/>
          <w:szCs w:val="21"/>
        </w:rPr>
        <w:t xml:space="preserve">　</w:t>
      </w:r>
      <w:r w:rsidRPr="00B855A3">
        <w:rPr>
          <w:rFonts w:ascii="Century" w:eastAsia="ＭＳ 明朝" w:hAnsi="Century" w:cs="Times New Roman"/>
          <w:bCs/>
          <w:szCs w:val="21"/>
        </w:rPr>
        <w:t>タイではコメが国土面積</w:t>
      </w:r>
      <w:r w:rsidR="00105E30" w:rsidRPr="00B855A3">
        <w:rPr>
          <w:rFonts w:ascii="Century" w:eastAsia="ＭＳ 明朝" w:hAnsi="Century" w:cs="Times New Roman"/>
          <w:bCs/>
          <w:szCs w:val="21"/>
        </w:rPr>
        <w:t>の約</w:t>
      </w:r>
      <w:r w:rsidR="00F56A6B">
        <w:rPr>
          <w:rFonts w:ascii="Century" w:eastAsia="ＭＳ 明朝" w:hAnsi="Century" w:cs="Times New Roman"/>
          <w:bCs/>
          <w:szCs w:val="21"/>
        </w:rPr>
        <w:t>20</w:t>
      </w:r>
      <w:r w:rsidRPr="00B855A3">
        <w:rPr>
          <w:rFonts w:ascii="Century" w:eastAsia="ＭＳ 明朝" w:hAnsi="Century" w:cs="Times New Roman"/>
          <w:bCs/>
          <w:szCs w:val="21"/>
        </w:rPr>
        <w:t>％に相当する</w:t>
      </w:r>
      <w:r w:rsidRPr="00B855A3">
        <w:rPr>
          <w:rFonts w:ascii="Century" w:eastAsia="ＭＳ 明朝" w:hAnsi="Century" w:cs="Times New Roman"/>
          <w:bCs/>
          <w:szCs w:val="21"/>
        </w:rPr>
        <w:t xml:space="preserve">1,100 </w:t>
      </w:r>
      <w:r w:rsidRPr="00B855A3">
        <w:rPr>
          <w:rFonts w:ascii="Century" w:eastAsia="ＭＳ 明朝" w:hAnsi="Century" w:cs="Times New Roman"/>
          <w:bCs/>
          <w:szCs w:val="21"/>
        </w:rPr>
        <w:t>万</w:t>
      </w:r>
      <w:r w:rsidR="00105E30" w:rsidRPr="00B855A3">
        <w:rPr>
          <w:rFonts w:ascii="Century" w:eastAsia="ＭＳ 明朝" w:hAnsi="Century" w:cs="Times New Roman"/>
          <w:bCs/>
          <w:szCs w:val="21"/>
        </w:rPr>
        <w:t>ha</w:t>
      </w:r>
      <w:r w:rsidRPr="00B855A3">
        <w:rPr>
          <w:rFonts w:ascii="Century" w:eastAsia="ＭＳ 明朝" w:hAnsi="Century" w:cs="Times New Roman"/>
          <w:bCs/>
          <w:szCs w:val="21"/>
        </w:rPr>
        <w:t>で栽培されている</w:t>
      </w:r>
      <w:r w:rsidR="00105E30" w:rsidRPr="00B855A3">
        <w:rPr>
          <w:rFonts w:ascii="Century" w:eastAsia="ＭＳ 明朝" w:hAnsi="Century" w:cs="Times New Roman"/>
          <w:bCs/>
          <w:szCs w:val="21"/>
        </w:rPr>
        <w:t>。ほかに</w:t>
      </w:r>
      <w:r w:rsidRPr="00B855A3">
        <w:rPr>
          <w:rFonts w:ascii="Century" w:eastAsia="ＭＳ 明朝" w:hAnsi="Century" w:cs="Times New Roman"/>
          <w:bCs/>
          <w:szCs w:val="21"/>
        </w:rPr>
        <w:t>サトウキビ、キャッサバが</w:t>
      </w:r>
      <w:r w:rsidRPr="00B855A3">
        <w:rPr>
          <w:rFonts w:ascii="Century" w:eastAsia="ＭＳ 明朝" w:hAnsi="Century" w:cs="Times New Roman"/>
          <w:bCs/>
          <w:szCs w:val="21"/>
        </w:rPr>
        <w:t xml:space="preserve"> 100 </w:t>
      </w:r>
      <w:r w:rsidRPr="00B855A3">
        <w:rPr>
          <w:rFonts w:ascii="Century" w:eastAsia="ＭＳ 明朝" w:hAnsi="Century" w:cs="Times New Roman"/>
          <w:bCs/>
          <w:szCs w:val="21"/>
        </w:rPr>
        <w:t>万ヘクタール規模で栽培されて</w:t>
      </w:r>
      <w:r w:rsidR="00105E30" w:rsidRPr="00B855A3">
        <w:rPr>
          <w:rFonts w:ascii="Century" w:eastAsia="ＭＳ 明朝" w:hAnsi="Century" w:cs="Times New Roman"/>
          <w:bCs/>
          <w:szCs w:val="21"/>
        </w:rPr>
        <w:t>おり、</w:t>
      </w:r>
      <w:r w:rsidRPr="00B855A3">
        <w:rPr>
          <w:rFonts w:ascii="Century" w:eastAsia="ＭＳ 明朝" w:hAnsi="Century" w:cs="Times New Roman"/>
          <w:bCs/>
          <w:szCs w:val="21"/>
        </w:rPr>
        <w:t>パーム油の作付面積も</w:t>
      </w:r>
      <w:r w:rsidRPr="00B855A3">
        <w:rPr>
          <w:rFonts w:ascii="Century" w:eastAsia="ＭＳ 明朝" w:hAnsi="Century" w:cs="Times New Roman"/>
          <w:bCs/>
          <w:szCs w:val="21"/>
        </w:rPr>
        <w:t xml:space="preserve"> 50 </w:t>
      </w:r>
      <w:r w:rsidRPr="00B855A3">
        <w:rPr>
          <w:rFonts w:ascii="Century" w:eastAsia="ＭＳ 明朝" w:hAnsi="Century" w:cs="Times New Roman"/>
          <w:bCs/>
          <w:szCs w:val="21"/>
        </w:rPr>
        <w:t>万</w:t>
      </w:r>
      <w:r w:rsidR="00105E30" w:rsidRPr="00B855A3">
        <w:rPr>
          <w:rFonts w:ascii="Century" w:eastAsia="ＭＳ 明朝" w:hAnsi="Century" w:cs="Times New Roman"/>
          <w:bCs/>
          <w:szCs w:val="21"/>
        </w:rPr>
        <w:t>ha</w:t>
      </w:r>
      <w:r w:rsidRPr="00B855A3">
        <w:rPr>
          <w:rFonts w:ascii="Century" w:eastAsia="ＭＳ 明朝" w:hAnsi="Century" w:cs="Times New Roman"/>
          <w:bCs/>
          <w:szCs w:val="21"/>
        </w:rPr>
        <w:t>を超えている。タイの農産物の需給、物流、価格形成には基本的に政府が関与することなく、市場メカニズムに委ねられているが、</w:t>
      </w:r>
      <w:r w:rsidR="00105E30" w:rsidRPr="00B855A3">
        <w:rPr>
          <w:rFonts w:ascii="Century" w:eastAsia="ＭＳ 明朝" w:hAnsi="Century" w:cs="Times New Roman"/>
          <w:bCs/>
          <w:szCs w:val="21"/>
        </w:rPr>
        <w:t>前述の</w:t>
      </w:r>
      <w:r w:rsidRPr="00B855A3">
        <w:rPr>
          <w:rFonts w:ascii="Century" w:eastAsia="ＭＳ 明朝" w:hAnsi="Century" w:cs="Times New Roman"/>
          <w:bCs/>
          <w:szCs w:val="21"/>
        </w:rPr>
        <w:t>コメ、サトウキビ、キャッサバ及びパーム油等主要農産物については、価格安定のため政府が市場介入を行っている</w:t>
      </w:r>
      <w:r w:rsidR="00105E30" w:rsidRPr="00B855A3">
        <w:rPr>
          <w:rFonts w:ascii="Century" w:eastAsia="ＭＳ 明朝" w:hAnsi="Century" w:cs="Times New Roman"/>
          <w:bCs/>
          <w:szCs w:val="21"/>
        </w:rPr>
        <w:t>。</w:t>
      </w:r>
      <w:r w:rsidRPr="00B855A3">
        <w:rPr>
          <w:rFonts w:ascii="Century" w:eastAsia="ＭＳ 明朝" w:hAnsi="Century" w:cs="Times New Roman"/>
          <w:bCs/>
          <w:szCs w:val="21"/>
        </w:rPr>
        <w:t>しかし、政府の価格支援策は、しばしば政府による主要農産物の価格補填策となり、近年は財政負担が増加しその見直しが必要となっている。</w:t>
      </w:r>
    </w:p>
    <w:p w14:paraId="5B7DE6AD" w14:textId="171D4E3C" w:rsidR="0099455F" w:rsidRPr="00B855A3" w:rsidRDefault="00105E30" w:rsidP="00841E01">
      <w:pPr>
        <w:rPr>
          <w:rFonts w:ascii="Century" w:eastAsia="ＭＳ 明朝" w:hAnsi="Century" w:cs="Times New Roman"/>
          <w:bCs/>
          <w:szCs w:val="21"/>
        </w:rPr>
      </w:pPr>
      <w:r w:rsidRPr="00B855A3">
        <w:rPr>
          <w:rFonts w:ascii="Century" w:eastAsia="ＭＳ 明朝" w:hAnsi="Century" w:cs="Times New Roman"/>
          <w:bCs/>
          <w:szCs w:val="21"/>
        </w:rPr>
        <w:t xml:space="preserve">　タイの農業生産能力は、灌漑システムの整備、農業技術の進展、政府の農業振興支援などにより大きく向上しており、前述の主要作物は、国内需要を充足し余剰分が海外に輸出され、タイは世界有数の農産品輸出国となっている。</w:t>
      </w:r>
    </w:p>
    <w:p w14:paraId="71BAB1D3" w14:textId="096579F0" w:rsidR="00841E01" w:rsidRPr="00B855A3" w:rsidRDefault="00841E01" w:rsidP="00841E01">
      <w:pPr>
        <w:rPr>
          <w:rFonts w:ascii="Century" w:eastAsia="ＭＳ 明朝" w:hAnsi="Century" w:cs="Times New Roman"/>
          <w:bCs/>
          <w:szCs w:val="21"/>
        </w:rPr>
      </w:pPr>
      <w:r w:rsidRPr="00B855A3">
        <w:rPr>
          <w:rFonts w:ascii="Century" w:eastAsia="ＭＳ 明朝" w:hAnsi="Century" w:cs="Times New Roman"/>
          <w:bCs/>
          <w:szCs w:val="21"/>
        </w:rPr>
        <w:t xml:space="preserve">　しかし、近年のタイの経済発展により、</w:t>
      </w:r>
      <w:r w:rsidR="00812BE5" w:rsidRPr="00B855A3">
        <w:rPr>
          <w:rFonts w:ascii="Century" w:eastAsia="ＭＳ 明朝" w:hAnsi="Century" w:cs="Times New Roman"/>
          <w:bCs/>
          <w:szCs w:val="21"/>
        </w:rPr>
        <w:t>農林水産業の経済に占める割合</w:t>
      </w:r>
      <w:r w:rsidR="0003038A" w:rsidRPr="00B855A3">
        <w:rPr>
          <w:rFonts w:ascii="Century" w:eastAsia="ＭＳ 明朝" w:hAnsi="Century" w:cs="Times New Roman"/>
          <w:bCs/>
          <w:szCs w:val="21"/>
        </w:rPr>
        <w:t>は</w:t>
      </w:r>
      <w:r w:rsidR="00812BE5" w:rsidRPr="00B855A3">
        <w:rPr>
          <w:rFonts w:ascii="Century" w:eastAsia="ＭＳ 明朝" w:hAnsi="Century" w:cs="Times New Roman"/>
          <w:bCs/>
          <w:szCs w:val="21"/>
        </w:rPr>
        <w:t>低くなっており、</w:t>
      </w:r>
      <w:r w:rsidR="00812BE5" w:rsidRPr="00B855A3">
        <w:rPr>
          <w:rFonts w:ascii="Century" w:eastAsia="ＭＳ 明朝" w:hAnsi="Century" w:cs="Times New Roman"/>
          <w:bCs/>
          <w:szCs w:val="21"/>
        </w:rPr>
        <w:lastRenderedPageBreak/>
        <w:t>経済政策上の食料増産の意義は低下している。ただ、前述の</w:t>
      </w:r>
      <w:r w:rsidR="00825794">
        <w:rPr>
          <w:rFonts w:ascii="Century" w:eastAsia="ＭＳ 明朝" w:hAnsi="Century" w:cs="Times New Roman" w:hint="eastAsia"/>
          <w:bCs/>
          <w:szCs w:val="21"/>
        </w:rPr>
        <w:t>とおり</w:t>
      </w:r>
      <w:r w:rsidR="00812BE5" w:rsidRPr="00B855A3">
        <w:rPr>
          <w:rFonts w:ascii="Century" w:eastAsia="ＭＳ 明朝" w:hAnsi="Century" w:cs="Times New Roman"/>
          <w:bCs/>
          <w:szCs w:val="21"/>
        </w:rPr>
        <w:t>に</w:t>
      </w:r>
      <w:r w:rsidR="00825794">
        <w:rPr>
          <w:rFonts w:ascii="Century" w:eastAsia="ＭＳ 明朝" w:hAnsi="Century" w:cs="Times New Roman" w:hint="eastAsia"/>
          <w:bCs/>
          <w:szCs w:val="21"/>
        </w:rPr>
        <w:t>就業</w:t>
      </w:r>
      <w:r w:rsidR="00812BE5" w:rsidRPr="00B855A3">
        <w:rPr>
          <w:rFonts w:ascii="Century" w:eastAsia="ＭＳ 明朝" w:hAnsi="Century" w:cs="Times New Roman"/>
          <w:bCs/>
          <w:szCs w:val="21"/>
        </w:rPr>
        <w:t>人口に占める農業就業</w:t>
      </w:r>
      <w:r w:rsidR="00695720">
        <w:rPr>
          <w:rFonts w:ascii="Century" w:eastAsia="ＭＳ 明朝" w:hAnsi="Century" w:cs="Times New Roman" w:hint="eastAsia"/>
          <w:bCs/>
          <w:szCs w:val="21"/>
        </w:rPr>
        <w:t>人口</w:t>
      </w:r>
      <w:r w:rsidR="00812BE5" w:rsidRPr="00B855A3">
        <w:rPr>
          <w:rFonts w:ascii="Century" w:eastAsia="ＭＳ 明朝" w:hAnsi="Century" w:cs="Times New Roman"/>
          <w:bCs/>
          <w:szCs w:val="21"/>
        </w:rPr>
        <w:t>の割合は高く、都市と農村の格差是正のためにも高い農家所得を目指した営農が求められている。</w:t>
      </w:r>
    </w:p>
    <w:p w14:paraId="2C6A04BA" w14:textId="77777777" w:rsidR="00841E01" w:rsidRPr="00B855A3" w:rsidRDefault="00841E01" w:rsidP="00841E01">
      <w:pPr>
        <w:rPr>
          <w:rFonts w:ascii="Century" w:eastAsia="ＭＳ 明朝" w:hAnsi="Century" w:cs="Times New Roman"/>
          <w:bCs/>
          <w:szCs w:val="21"/>
        </w:rPr>
      </w:pPr>
    </w:p>
    <w:p w14:paraId="08076BC5" w14:textId="69EB0D49" w:rsidR="00F3064B" w:rsidRPr="00B855A3" w:rsidRDefault="00F3064B">
      <w:pPr>
        <w:rPr>
          <w:rFonts w:ascii="Century" w:eastAsia="ＭＳ 明朝" w:hAnsi="Century" w:cs="Times New Roman"/>
          <w:b/>
          <w:szCs w:val="21"/>
        </w:rPr>
      </w:pPr>
      <w:r w:rsidRPr="00B855A3">
        <w:rPr>
          <w:rFonts w:ascii="Century" w:eastAsia="ＭＳ 明朝" w:hAnsi="Century" w:cs="Times New Roman"/>
          <w:b/>
          <w:szCs w:val="21"/>
        </w:rPr>
        <w:t>3</w:t>
      </w:r>
      <w:r w:rsidRPr="00B855A3">
        <w:rPr>
          <w:rFonts w:ascii="Century" w:eastAsia="ＭＳ 明朝" w:hAnsi="Century" w:cs="Times New Roman"/>
          <w:b/>
          <w:szCs w:val="21"/>
        </w:rPr>
        <w:t>．</w:t>
      </w:r>
      <w:r w:rsidR="00AD7094" w:rsidRPr="00B855A3">
        <w:rPr>
          <w:rFonts w:ascii="Century" w:eastAsia="ＭＳ 明朝" w:hAnsi="Century" w:cs="Times New Roman"/>
          <w:b/>
          <w:szCs w:val="21"/>
        </w:rPr>
        <w:t>タイ</w:t>
      </w:r>
      <w:r w:rsidRPr="00B855A3">
        <w:rPr>
          <w:rFonts w:ascii="Century" w:eastAsia="ＭＳ 明朝" w:hAnsi="Century" w:cs="Times New Roman"/>
          <w:b/>
          <w:szCs w:val="21"/>
        </w:rPr>
        <w:t>農業の政策的課題及び農業研修の必要性</w:t>
      </w:r>
    </w:p>
    <w:p w14:paraId="0AA99EA9" w14:textId="77777777" w:rsidR="00282B3E" w:rsidRDefault="00105E30" w:rsidP="00841E01">
      <w:pPr>
        <w:ind w:firstLineChars="100" w:firstLine="210"/>
        <w:rPr>
          <w:rFonts w:ascii="Century" w:eastAsia="ＭＳ 明朝" w:hAnsi="Century" w:cs="Times New Roman"/>
          <w:szCs w:val="21"/>
        </w:rPr>
      </w:pPr>
      <w:r w:rsidRPr="00B855A3">
        <w:rPr>
          <w:rFonts w:ascii="Century" w:eastAsia="ＭＳ 明朝" w:hAnsi="Century" w:cs="Times New Roman"/>
          <w:szCs w:val="21"/>
        </w:rPr>
        <w:t>タイの農業発展の変遷は</w:t>
      </w:r>
      <w:r w:rsidR="00812BE5" w:rsidRPr="00B855A3">
        <w:rPr>
          <w:rFonts w:ascii="Century" w:eastAsia="ＭＳ 明朝" w:hAnsi="Century" w:cs="Times New Roman"/>
          <w:szCs w:val="21"/>
        </w:rPr>
        <w:t>大きく</w:t>
      </w:r>
      <w:r w:rsidRPr="00B855A3">
        <w:rPr>
          <w:rFonts w:ascii="Century" w:eastAsia="ＭＳ 明朝" w:hAnsi="Century" w:cs="Times New Roman"/>
          <w:szCs w:val="21"/>
        </w:rPr>
        <w:t>３つに分けられる</w:t>
      </w:r>
      <w:r w:rsidR="00BC41BB" w:rsidRPr="00B855A3">
        <w:rPr>
          <w:rFonts w:ascii="Century" w:eastAsia="ＭＳ 明朝" w:hAnsi="Century" w:cs="Times New Roman"/>
          <w:szCs w:val="21"/>
        </w:rPr>
        <w:t>。</w:t>
      </w:r>
      <w:r w:rsidRPr="00B855A3">
        <w:rPr>
          <w:rFonts w:ascii="Century" w:eastAsia="ＭＳ 明朝" w:hAnsi="Century" w:cs="Times New Roman"/>
          <w:szCs w:val="21"/>
        </w:rPr>
        <w:t>第１局面は第二次世界大戦後から</w:t>
      </w:r>
      <w:r w:rsidRPr="00B855A3">
        <w:rPr>
          <w:rFonts w:ascii="Century" w:eastAsia="ＭＳ 明朝" w:hAnsi="Century" w:cs="Times New Roman"/>
          <w:szCs w:val="21"/>
        </w:rPr>
        <w:t>1980</w:t>
      </w:r>
      <w:r w:rsidRPr="00B855A3">
        <w:rPr>
          <w:rFonts w:ascii="Century" w:eastAsia="ＭＳ 明朝" w:hAnsi="Century" w:cs="Times New Roman"/>
          <w:szCs w:val="21"/>
        </w:rPr>
        <w:t>年代までの拡大期であった。この局面では</w:t>
      </w:r>
      <w:r w:rsidR="00812BE5" w:rsidRPr="00B855A3">
        <w:rPr>
          <w:rFonts w:ascii="Century" w:eastAsia="ＭＳ 明朝" w:hAnsi="Century" w:cs="Times New Roman"/>
          <w:szCs w:val="21"/>
        </w:rPr>
        <w:t>東北部や北部の</w:t>
      </w:r>
      <w:r w:rsidRPr="00B855A3">
        <w:rPr>
          <w:rFonts w:ascii="Century" w:eastAsia="ＭＳ 明朝" w:hAnsi="Century" w:cs="Times New Roman"/>
          <w:szCs w:val="21"/>
        </w:rPr>
        <w:t>未開の土地を切り開き、外延的に発展した。第２局面は</w:t>
      </w:r>
      <w:r w:rsidR="00F13F67">
        <w:rPr>
          <w:rFonts w:ascii="Century" w:eastAsia="ＭＳ 明朝" w:hAnsi="Century" w:cs="Times New Roman" w:hint="eastAsia"/>
          <w:szCs w:val="21"/>
        </w:rPr>
        <w:t>1</w:t>
      </w:r>
      <w:r w:rsidR="00F13F67">
        <w:rPr>
          <w:rFonts w:ascii="Century" w:eastAsia="ＭＳ 明朝" w:hAnsi="Century" w:cs="Times New Roman"/>
          <w:szCs w:val="21"/>
        </w:rPr>
        <w:t>980</w:t>
      </w:r>
      <w:r w:rsidRPr="00B855A3">
        <w:rPr>
          <w:rFonts w:ascii="Century" w:eastAsia="ＭＳ 明朝" w:hAnsi="Century" w:cs="Times New Roman"/>
          <w:szCs w:val="21"/>
        </w:rPr>
        <w:t>年頃から</w:t>
      </w:r>
      <w:r w:rsidR="00F13F67">
        <w:rPr>
          <w:rFonts w:ascii="Century" w:eastAsia="ＭＳ 明朝" w:hAnsi="Century" w:cs="Times New Roman" w:hint="eastAsia"/>
          <w:szCs w:val="21"/>
        </w:rPr>
        <w:t>2</w:t>
      </w:r>
      <w:r w:rsidR="00F13F67">
        <w:rPr>
          <w:rFonts w:ascii="Century" w:eastAsia="ＭＳ 明朝" w:hAnsi="Century" w:cs="Times New Roman"/>
          <w:szCs w:val="21"/>
        </w:rPr>
        <w:t>000</w:t>
      </w:r>
      <w:r w:rsidRPr="00B855A3">
        <w:rPr>
          <w:rFonts w:ascii="Century" w:eastAsia="ＭＳ 明朝" w:hAnsi="Century" w:cs="Times New Roman"/>
          <w:szCs w:val="21"/>
        </w:rPr>
        <w:t>年頃で、</w:t>
      </w:r>
      <w:r w:rsidR="00AD590D" w:rsidRPr="00B855A3">
        <w:rPr>
          <w:rFonts w:ascii="Century" w:eastAsia="ＭＳ 明朝" w:hAnsi="Century" w:cs="Times New Roman"/>
          <w:szCs w:val="21"/>
        </w:rPr>
        <w:t>資本や労働の集約化を計り、土地生産性を増やしてきた。</w:t>
      </w:r>
      <w:r w:rsidR="00841E01" w:rsidRPr="00B855A3">
        <w:rPr>
          <w:rFonts w:ascii="Century" w:eastAsia="ＭＳ 明朝" w:hAnsi="Century" w:cs="Times New Roman"/>
          <w:szCs w:val="21"/>
        </w:rPr>
        <w:t>このように第１局面、第２局面を経て、</w:t>
      </w:r>
      <w:r w:rsidR="003659B2">
        <w:rPr>
          <w:rFonts w:ascii="Century" w:eastAsia="ＭＳ 明朝" w:hAnsi="Century" w:cs="Times New Roman" w:hint="eastAsia"/>
          <w:szCs w:val="21"/>
        </w:rPr>
        <w:t>2</w:t>
      </w:r>
      <w:r w:rsidR="003659B2">
        <w:rPr>
          <w:rFonts w:ascii="Century" w:eastAsia="ＭＳ 明朝" w:hAnsi="Century" w:cs="Times New Roman"/>
          <w:szCs w:val="21"/>
        </w:rPr>
        <w:t>000</w:t>
      </w:r>
      <w:r w:rsidR="00841E01" w:rsidRPr="00B855A3">
        <w:rPr>
          <w:rFonts w:ascii="Century" w:eastAsia="ＭＳ 明朝" w:hAnsi="Century" w:cs="Times New Roman"/>
          <w:szCs w:val="21"/>
        </w:rPr>
        <w:t>年代までにタイは世界有数の農産物</w:t>
      </w:r>
      <w:r w:rsidR="00812BE5" w:rsidRPr="00B855A3">
        <w:rPr>
          <w:rFonts w:ascii="Century" w:eastAsia="ＭＳ 明朝" w:hAnsi="Century" w:cs="Times New Roman"/>
          <w:szCs w:val="21"/>
        </w:rPr>
        <w:t>出国となった。しかし、</w:t>
      </w:r>
      <w:r w:rsidR="00AD590D" w:rsidRPr="00B855A3">
        <w:rPr>
          <w:rFonts w:ascii="Century" w:eastAsia="ＭＳ 明朝" w:hAnsi="Century" w:cs="Times New Roman"/>
          <w:szCs w:val="21"/>
        </w:rPr>
        <w:t>第３局面</w:t>
      </w:r>
      <w:r w:rsidR="00812BE5" w:rsidRPr="00B855A3">
        <w:rPr>
          <w:rFonts w:ascii="Century" w:eastAsia="ＭＳ 明朝" w:hAnsi="Century" w:cs="Times New Roman"/>
          <w:szCs w:val="21"/>
        </w:rPr>
        <w:t>である</w:t>
      </w:r>
      <w:r w:rsidR="003659B2">
        <w:rPr>
          <w:rFonts w:ascii="Century" w:eastAsia="ＭＳ 明朝" w:hAnsi="Century" w:cs="Times New Roman" w:hint="eastAsia"/>
          <w:szCs w:val="21"/>
        </w:rPr>
        <w:t>2</w:t>
      </w:r>
      <w:r w:rsidR="003659B2">
        <w:rPr>
          <w:rFonts w:ascii="Century" w:eastAsia="ＭＳ 明朝" w:hAnsi="Century" w:cs="Times New Roman"/>
          <w:szCs w:val="21"/>
        </w:rPr>
        <w:t>000</w:t>
      </w:r>
      <w:r w:rsidR="00AD590D" w:rsidRPr="00B855A3">
        <w:rPr>
          <w:rFonts w:ascii="Century" w:eastAsia="ＭＳ 明朝" w:hAnsi="Century" w:cs="Times New Roman"/>
          <w:szCs w:val="21"/>
        </w:rPr>
        <w:t>年以降、他産業の発展により、</w:t>
      </w:r>
      <w:r w:rsidR="00812BE5" w:rsidRPr="00B855A3">
        <w:rPr>
          <w:rFonts w:ascii="Century" w:eastAsia="ＭＳ 明朝" w:hAnsi="Century" w:cs="Times New Roman"/>
          <w:szCs w:val="21"/>
        </w:rPr>
        <w:t>都市と農村との間に</w:t>
      </w:r>
      <w:r w:rsidR="00AD590D" w:rsidRPr="00B855A3">
        <w:rPr>
          <w:rFonts w:ascii="Century" w:eastAsia="ＭＳ 明朝" w:hAnsi="Century" w:cs="Times New Roman"/>
          <w:szCs w:val="21"/>
        </w:rPr>
        <w:t>人口移動が起こり、農業労働力が製造業等に流失し、</w:t>
      </w:r>
      <w:r w:rsidR="00812BE5" w:rsidRPr="00B855A3">
        <w:rPr>
          <w:rFonts w:ascii="Century" w:eastAsia="ＭＳ 明朝" w:hAnsi="Century" w:cs="Times New Roman"/>
          <w:szCs w:val="21"/>
        </w:rPr>
        <w:t>その結果、農業の</w:t>
      </w:r>
      <w:r w:rsidR="00AD590D" w:rsidRPr="00B855A3">
        <w:rPr>
          <w:rFonts w:ascii="Century" w:eastAsia="ＭＳ 明朝" w:hAnsi="Century" w:cs="Times New Roman"/>
          <w:szCs w:val="21"/>
        </w:rPr>
        <w:t>土地生産性の上昇が止まり、農業発展が停滞</w:t>
      </w:r>
      <w:r w:rsidR="00812BE5" w:rsidRPr="00B855A3">
        <w:rPr>
          <w:rFonts w:ascii="Century" w:eastAsia="ＭＳ 明朝" w:hAnsi="Century" w:cs="Times New Roman"/>
          <w:szCs w:val="21"/>
        </w:rPr>
        <w:t>に直面している</w:t>
      </w:r>
      <w:r w:rsidR="00AD590D" w:rsidRPr="00B855A3">
        <w:rPr>
          <w:rFonts w:ascii="Century" w:eastAsia="ＭＳ 明朝" w:hAnsi="Century" w:cs="Times New Roman"/>
          <w:szCs w:val="21"/>
        </w:rPr>
        <w:t>。このように現在のタイ農業は経済発展によって農業労働力が減少し、土地生産性の停滞が起こっており、農業経営の省力化及び農家所得向上のための高付加価値化が大きな課題となっている。</w:t>
      </w:r>
    </w:p>
    <w:p w14:paraId="59236162" w14:textId="4422C95D" w:rsidR="00BC41BB" w:rsidRPr="00B855A3" w:rsidRDefault="00282B3E" w:rsidP="00841E01">
      <w:pPr>
        <w:ind w:firstLineChars="100" w:firstLine="210"/>
        <w:rPr>
          <w:rFonts w:ascii="Century" w:eastAsia="ＭＳ 明朝" w:hAnsi="Century" w:cs="Times New Roman"/>
          <w:szCs w:val="21"/>
        </w:rPr>
      </w:pPr>
      <w:r>
        <w:rPr>
          <w:rFonts w:ascii="Century" w:eastAsia="ＭＳ 明朝" w:hAnsi="Century" w:cs="Times New Roman" w:hint="eastAsia"/>
          <w:szCs w:val="21"/>
        </w:rPr>
        <w:t>以上のことから、</w:t>
      </w:r>
      <w:r w:rsidR="001D1457" w:rsidRPr="00B855A3">
        <w:rPr>
          <w:rFonts w:ascii="Century" w:eastAsia="ＭＳ 明朝" w:hAnsi="Century" w:cs="Times New Roman"/>
          <w:szCs w:val="21"/>
        </w:rPr>
        <w:t>若い</w:t>
      </w:r>
      <w:r w:rsidR="00812BE5" w:rsidRPr="00B855A3">
        <w:rPr>
          <w:rFonts w:ascii="Century" w:eastAsia="ＭＳ 明朝" w:hAnsi="Century" w:cs="Times New Roman"/>
          <w:szCs w:val="21"/>
        </w:rPr>
        <w:t>タイ</w:t>
      </w:r>
      <w:r w:rsidR="001D1457" w:rsidRPr="00B855A3">
        <w:rPr>
          <w:rFonts w:ascii="Century" w:eastAsia="ＭＳ 明朝" w:hAnsi="Century" w:cs="Times New Roman"/>
          <w:szCs w:val="21"/>
        </w:rPr>
        <w:t>農業青年が日本で研修を行うことにより、本人はもとより近隣農家へ</w:t>
      </w:r>
      <w:r w:rsidR="00812BE5" w:rsidRPr="00B855A3">
        <w:rPr>
          <w:rFonts w:ascii="Century" w:eastAsia="ＭＳ 明朝" w:hAnsi="Century" w:cs="Times New Roman"/>
          <w:szCs w:val="21"/>
        </w:rPr>
        <w:t>機械化を含む省力化技術及び、６次産業化などの農産物の高付加価値化技術の</w:t>
      </w:r>
      <w:r w:rsidR="001D1457" w:rsidRPr="00B855A3">
        <w:rPr>
          <w:rFonts w:ascii="Century" w:eastAsia="ＭＳ 明朝" w:hAnsi="Century" w:cs="Times New Roman"/>
          <w:szCs w:val="21"/>
        </w:rPr>
        <w:t>移転が</w:t>
      </w:r>
      <w:r w:rsidR="00374F90">
        <w:rPr>
          <w:rFonts w:ascii="Century" w:eastAsia="ＭＳ 明朝" w:hAnsi="Century" w:cs="Times New Roman" w:hint="eastAsia"/>
          <w:szCs w:val="21"/>
        </w:rPr>
        <w:t>な</w:t>
      </w:r>
      <w:r w:rsidR="001D1457" w:rsidRPr="00B855A3">
        <w:rPr>
          <w:rFonts w:ascii="Century" w:eastAsia="ＭＳ 明朝" w:hAnsi="Century" w:cs="Times New Roman"/>
          <w:szCs w:val="21"/>
        </w:rPr>
        <w:t>され</w:t>
      </w:r>
      <w:r w:rsidR="008707D3" w:rsidRPr="00B855A3">
        <w:rPr>
          <w:rFonts w:ascii="Century" w:eastAsia="ＭＳ 明朝" w:hAnsi="Century" w:cs="Times New Roman"/>
          <w:szCs w:val="21"/>
        </w:rPr>
        <w:t>ることは</w:t>
      </w:r>
      <w:r w:rsidR="00812BE5" w:rsidRPr="00B855A3">
        <w:rPr>
          <w:rFonts w:ascii="Century" w:eastAsia="ＭＳ 明朝" w:hAnsi="Century" w:cs="Times New Roman"/>
          <w:szCs w:val="21"/>
        </w:rPr>
        <w:t>タイ</w:t>
      </w:r>
      <w:r w:rsidR="001D1457" w:rsidRPr="00B855A3">
        <w:rPr>
          <w:rFonts w:ascii="Century" w:eastAsia="ＭＳ 明朝" w:hAnsi="Century" w:cs="Times New Roman"/>
          <w:szCs w:val="21"/>
        </w:rPr>
        <w:t>農業が</w:t>
      </w:r>
      <w:r w:rsidR="00FC4213">
        <w:rPr>
          <w:rFonts w:ascii="Century" w:eastAsia="ＭＳ 明朝" w:hAnsi="Century" w:cs="Times New Roman" w:hint="eastAsia"/>
          <w:szCs w:val="21"/>
        </w:rPr>
        <w:t>直面して</w:t>
      </w:r>
      <w:r w:rsidR="001D1457" w:rsidRPr="00B855A3">
        <w:rPr>
          <w:rFonts w:ascii="Century" w:eastAsia="ＭＳ 明朝" w:hAnsi="Century" w:cs="Times New Roman"/>
          <w:szCs w:val="21"/>
        </w:rPr>
        <w:t>いる課題の解決につながる</w:t>
      </w:r>
      <w:r w:rsidR="00F42338">
        <w:rPr>
          <w:rFonts w:ascii="Century" w:eastAsia="ＭＳ 明朝" w:hAnsi="Century" w:cs="Times New Roman" w:hint="eastAsia"/>
          <w:szCs w:val="21"/>
        </w:rPr>
        <w:t>ものと考える</w:t>
      </w:r>
      <w:r w:rsidR="001D1457" w:rsidRPr="00B855A3">
        <w:rPr>
          <w:rFonts w:ascii="Century" w:eastAsia="ＭＳ 明朝" w:hAnsi="Century" w:cs="Times New Roman"/>
          <w:szCs w:val="21"/>
        </w:rPr>
        <w:t>。</w:t>
      </w:r>
      <w:r w:rsidR="00BC41BB" w:rsidRPr="00B855A3">
        <w:rPr>
          <w:rFonts w:ascii="Century" w:eastAsia="ＭＳ 明朝" w:hAnsi="Century" w:cs="Times New Roman"/>
          <w:szCs w:val="21"/>
        </w:rPr>
        <w:t>したがって、本事業は</w:t>
      </w:r>
      <w:r w:rsidR="00812BE5" w:rsidRPr="00B855A3">
        <w:rPr>
          <w:rFonts w:ascii="Century" w:eastAsia="ＭＳ 明朝" w:hAnsi="Century" w:cs="Times New Roman"/>
          <w:szCs w:val="21"/>
        </w:rPr>
        <w:t>タイ</w:t>
      </w:r>
      <w:r w:rsidR="00BC41BB" w:rsidRPr="00B855A3">
        <w:rPr>
          <w:rFonts w:ascii="Century" w:eastAsia="ＭＳ 明朝" w:hAnsi="Century" w:cs="Times New Roman"/>
          <w:szCs w:val="21"/>
        </w:rPr>
        <w:t>の農業農村に期待される政策的課題を解決するために重要な役割を果たすと予見される。</w:t>
      </w:r>
    </w:p>
    <w:p w14:paraId="3D5BE17D" w14:textId="77777777" w:rsidR="00BC41BB" w:rsidRPr="00B855A3" w:rsidRDefault="00BC41BB">
      <w:pPr>
        <w:rPr>
          <w:rFonts w:ascii="Century" w:eastAsia="ＭＳ 明朝" w:hAnsi="Century" w:cs="Times New Roman"/>
          <w:szCs w:val="21"/>
        </w:rPr>
      </w:pPr>
    </w:p>
    <w:p w14:paraId="6ADD8C43" w14:textId="77777777" w:rsidR="005174D3" w:rsidRPr="00B855A3" w:rsidRDefault="005174D3" w:rsidP="005174D3">
      <w:pPr>
        <w:rPr>
          <w:rFonts w:ascii="Century" w:eastAsia="ＭＳ 明朝" w:hAnsi="Century"/>
          <w:szCs w:val="21"/>
        </w:rPr>
      </w:pPr>
      <w:r w:rsidRPr="00B855A3">
        <w:rPr>
          <w:rFonts w:ascii="Century" w:eastAsia="ＭＳ 明朝" w:hAnsi="Century"/>
          <w:szCs w:val="21"/>
        </w:rPr>
        <w:t>参考文献</w:t>
      </w:r>
    </w:p>
    <w:p w14:paraId="505ACCC4" w14:textId="6C926B91" w:rsidR="005174D3" w:rsidRPr="003C7EE7" w:rsidRDefault="005174D3" w:rsidP="005174D3">
      <w:pPr>
        <w:ind w:left="496" w:hangingChars="236" w:hanging="496"/>
        <w:rPr>
          <w:rFonts w:ascii="Century" w:eastAsia="ＭＳ 明朝" w:hAnsi="Century"/>
          <w:szCs w:val="21"/>
        </w:rPr>
      </w:pPr>
      <w:r w:rsidRPr="00B855A3">
        <w:rPr>
          <w:rFonts w:ascii="Century" w:eastAsia="ＭＳ 明朝" w:hAnsi="Century"/>
          <w:szCs w:val="21"/>
        </w:rPr>
        <w:t>［</w:t>
      </w:r>
      <w:r w:rsidRPr="003C7EE7">
        <w:rPr>
          <w:rFonts w:ascii="Century" w:eastAsia="ＭＳ 明朝" w:hAnsi="Century"/>
          <w:szCs w:val="21"/>
        </w:rPr>
        <w:t>1</w:t>
      </w:r>
      <w:r w:rsidRPr="003C7EE7">
        <w:rPr>
          <w:rFonts w:ascii="Century" w:eastAsia="ＭＳ 明朝" w:hAnsi="Century"/>
          <w:szCs w:val="21"/>
        </w:rPr>
        <w:t>］</w:t>
      </w:r>
      <w:r w:rsidR="00863601" w:rsidRPr="003C7EE7">
        <w:rPr>
          <w:rFonts w:ascii="Century" w:eastAsia="ＭＳ 明朝" w:hAnsi="Century"/>
          <w:szCs w:val="21"/>
        </w:rPr>
        <w:t>井上荘太郎</w:t>
      </w:r>
      <w:r w:rsidRPr="003C7EE7">
        <w:rPr>
          <w:rFonts w:ascii="Century" w:eastAsia="ＭＳ 明朝" w:hAnsi="Century"/>
          <w:szCs w:val="21"/>
        </w:rPr>
        <w:t>（</w:t>
      </w:r>
      <w:r w:rsidRPr="003C7EE7">
        <w:rPr>
          <w:rFonts w:ascii="Century" w:eastAsia="ＭＳ 明朝" w:hAnsi="Century"/>
          <w:szCs w:val="21"/>
        </w:rPr>
        <w:t>20</w:t>
      </w:r>
      <w:r w:rsidR="001A3A3E" w:rsidRPr="003C7EE7">
        <w:rPr>
          <w:rFonts w:ascii="Century" w:eastAsia="ＭＳ 明朝" w:hAnsi="Century"/>
          <w:szCs w:val="21"/>
        </w:rPr>
        <w:t>18</w:t>
      </w:r>
      <w:r w:rsidRPr="003C7EE7">
        <w:rPr>
          <w:rFonts w:ascii="Century" w:eastAsia="ＭＳ 明朝" w:hAnsi="Century"/>
          <w:szCs w:val="21"/>
        </w:rPr>
        <w:t>）、</w:t>
      </w:r>
      <w:r w:rsidR="001A3A3E" w:rsidRPr="003C7EE7">
        <w:rPr>
          <w:rFonts w:ascii="Century" w:eastAsia="ＭＳ 明朝" w:hAnsi="Century"/>
          <w:szCs w:val="21"/>
        </w:rPr>
        <w:t>タイにおける農業政策の動向と政治的影響、</w:t>
      </w:r>
      <w:r w:rsidR="00863601" w:rsidRPr="003C7EE7">
        <w:rPr>
          <w:rFonts w:ascii="Century" w:eastAsia="ＭＳ 明朝" w:hAnsi="Century"/>
          <w:szCs w:val="21"/>
        </w:rPr>
        <w:t>農林水産政策研究所</w:t>
      </w:r>
    </w:p>
    <w:p w14:paraId="466E60BB" w14:textId="23A35A87" w:rsidR="005174D3" w:rsidRPr="003C7EE7" w:rsidRDefault="005174D3" w:rsidP="00863601">
      <w:pPr>
        <w:ind w:left="496" w:hangingChars="236" w:hanging="496"/>
        <w:rPr>
          <w:rFonts w:ascii="Century" w:eastAsia="ＭＳ 明朝" w:hAnsi="Century"/>
          <w:szCs w:val="21"/>
        </w:rPr>
      </w:pPr>
      <w:r w:rsidRPr="003C7EE7">
        <w:rPr>
          <w:rFonts w:ascii="Century" w:eastAsia="ＭＳ 明朝" w:hAnsi="Century"/>
          <w:szCs w:val="21"/>
        </w:rPr>
        <w:t>［</w:t>
      </w:r>
      <w:r w:rsidRPr="003C7EE7">
        <w:rPr>
          <w:rFonts w:ascii="Century" w:eastAsia="ＭＳ 明朝" w:hAnsi="Century"/>
          <w:szCs w:val="21"/>
        </w:rPr>
        <w:t>2</w:t>
      </w:r>
      <w:r w:rsidRPr="003C7EE7">
        <w:rPr>
          <w:rFonts w:ascii="Century" w:eastAsia="ＭＳ 明朝" w:hAnsi="Century"/>
          <w:szCs w:val="21"/>
        </w:rPr>
        <w:t>］</w:t>
      </w:r>
      <w:r w:rsidR="00863601" w:rsidRPr="003C7EE7">
        <w:rPr>
          <w:rFonts w:ascii="Century" w:eastAsia="ＭＳ 明朝" w:hAnsi="Century"/>
          <w:szCs w:val="21"/>
        </w:rPr>
        <w:t>日本総合研究所</w:t>
      </w:r>
      <w:r w:rsidRPr="003C7EE7">
        <w:rPr>
          <w:rFonts w:ascii="Century" w:eastAsia="ＭＳ 明朝" w:hAnsi="Century"/>
          <w:szCs w:val="21"/>
        </w:rPr>
        <w:t>（</w:t>
      </w:r>
      <w:r w:rsidRPr="003C7EE7">
        <w:rPr>
          <w:rFonts w:ascii="Century" w:eastAsia="ＭＳ 明朝" w:hAnsi="Century"/>
          <w:szCs w:val="21"/>
        </w:rPr>
        <w:t>20</w:t>
      </w:r>
      <w:r w:rsidR="00863601" w:rsidRPr="003C7EE7">
        <w:rPr>
          <w:rFonts w:ascii="Century" w:eastAsia="ＭＳ 明朝" w:hAnsi="Century"/>
          <w:szCs w:val="21"/>
        </w:rPr>
        <w:t>09</w:t>
      </w:r>
      <w:r w:rsidRPr="003C7EE7">
        <w:rPr>
          <w:rFonts w:ascii="Century" w:eastAsia="ＭＳ 明朝" w:hAnsi="Century"/>
          <w:szCs w:val="21"/>
        </w:rPr>
        <w:t>）、</w:t>
      </w:r>
      <w:r w:rsidR="00863601" w:rsidRPr="003C7EE7">
        <w:rPr>
          <w:rFonts w:ascii="Century" w:eastAsia="ＭＳ 明朝" w:hAnsi="Century"/>
          <w:szCs w:val="21"/>
        </w:rPr>
        <w:t>タイの主要農産物別生産、流通、生産支援政策の概要、農林水産省主要国の農業情報調査分析報告書</w:t>
      </w:r>
    </w:p>
    <w:p w14:paraId="1381C47F" w14:textId="234959D9" w:rsidR="005174D3" w:rsidRPr="003C7EE7" w:rsidRDefault="005174D3" w:rsidP="005174D3">
      <w:pPr>
        <w:ind w:left="496" w:hangingChars="236" w:hanging="496"/>
        <w:rPr>
          <w:rFonts w:ascii="Century" w:eastAsia="ＭＳ 明朝" w:hAnsi="Century"/>
          <w:szCs w:val="21"/>
        </w:rPr>
      </w:pPr>
      <w:r w:rsidRPr="003C7EE7">
        <w:rPr>
          <w:rFonts w:ascii="Century" w:eastAsia="ＭＳ 明朝" w:hAnsi="Century"/>
          <w:szCs w:val="21"/>
        </w:rPr>
        <w:t>［</w:t>
      </w:r>
      <w:r w:rsidRPr="003C7EE7">
        <w:rPr>
          <w:rFonts w:ascii="Century" w:eastAsia="ＭＳ 明朝" w:hAnsi="Century"/>
          <w:szCs w:val="21"/>
        </w:rPr>
        <w:t>3</w:t>
      </w:r>
      <w:r w:rsidRPr="003C7EE7">
        <w:rPr>
          <w:rFonts w:ascii="Century" w:eastAsia="ＭＳ 明朝" w:hAnsi="Century"/>
          <w:szCs w:val="21"/>
        </w:rPr>
        <w:t>］</w:t>
      </w:r>
      <w:r w:rsidR="00863601" w:rsidRPr="003C7EE7">
        <w:rPr>
          <w:rFonts w:ascii="Century" w:eastAsia="ＭＳ 明朝" w:hAnsi="Century"/>
          <w:szCs w:val="21"/>
        </w:rPr>
        <w:t>外務省</w:t>
      </w:r>
      <w:r w:rsidRPr="003C7EE7">
        <w:rPr>
          <w:rFonts w:ascii="Century" w:eastAsia="ＭＳ 明朝" w:hAnsi="Century"/>
          <w:szCs w:val="21"/>
        </w:rPr>
        <w:t>（</w:t>
      </w:r>
      <w:r w:rsidRPr="003C7EE7">
        <w:rPr>
          <w:rFonts w:ascii="Century" w:eastAsia="ＭＳ 明朝" w:hAnsi="Century"/>
          <w:szCs w:val="21"/>
        </w:rPr>
        <w:t>20</w:t>
      </w:r>
      <w:r w:rsidR="00863601" w:rsidRPr="003C7EE7">
        <w:rPr>
          <w:rFonts w:ascii="Century" w:eastAsia="ＭＳ 明朝" w:hAnsi="Century"/>
          <w:szCs w:val="21"/>
        </w:rPr>
        <w:t>19</w:t>
      </w:r>
      <w:r w:rsidRPr="003C7EE7">
        <w:rPr>
          <w:rFonts w:ascii="Century" w:eastAsia="ＭＳ 明朝" w:hAnsi="Century"/>
          <w:szCs w:val="21"/>
        </w:rPr>
        <w:t>）、</w:t>
      </w:r>
      <w:r w:rsidR="00863601" w:rsidRPr="003C7EE7">
        <w:rPr>
          <w:rFonts w:ascii="Century" w:eastAsia="ＭＳ 明朝" w:hAnsi="Century"/>
          <w:szCs w:val="21"/>
        </w:rPr>
        <w:t>タイ国基礎データ</w:t>
      </w:r>
    </w:p>
    <w:p w14:paraId="3B1000D8" w14:textId="26186B29" w:rsidR="00723326" w:rsidRPr="003C7EE7" w:rsidRDefault="003C7EE7">
      <w:pPr>
        <w:rPr>
          <w:rFonts w:ascii="Century" w:eastAsia="ＭＳ 明朝" w:hAnsi="Century"/>
          <w:szCs w:val="21"/>
        </w:rPr>
      </w:pPr>
      <w:r w:rsidRPr="003C7EE7">
        <w:rPr>
          <w:rFonts w:ascii="Century" w:eastAsia="ＭＳ 明朝" w:hAnsi="Century"/>
          <w:szCs w:val="21"/>
        </w:rPr>
        <w:t>［</w:t>
      </w:r>
      <w:r w:rsidRPr="003C7EE7">
        <w:rPr>
          <w:rFonts w:ascii="Century" w:eastAsia="ＭＳ 明朝" w:hAnsi="Century"/>
          <w:szCs w:val="21"/>
        </w:rPr>
        <w:t>4</w:t>
      </w:r>
      <w:r w:rsidRPr="003C7EE7">
        <w:rPr>
          <w:rFonts w:ascii="Century" w:eastAsia="ＭＳ 明朝" w:hAnsi="Century"/>
          <w:szCs w:val="21"/>
        </w:rPr>
        <w:t>］</w:t>
      </w:r>
      <w:r w:rsidRPr="003C7EE7">
        <w:rPr>
          <w:rFonts w:ascii="Century" w:eastAsia="ＭＳ 明朝" w:hAnsi="Century"/>
          <w:szCs w:val="21"/>
        </w:rPr>
        <w:t>NESDC</w:t>
      </w:r>
      <w:r w:rsidRPr="003C7EE7">
        <w:rPr>
          <w:rFonts w:ascii="Century" w:eastAsia="ＭＳ 明朝" w:hAnsi="Century"/>
          <w:szCs w:val="21"/>
        </w:rPr>
        <w:t>（</w:t>
      </w:r>
      <w:r w:rsidRPr="003C7EE7">
        <w:rPr>
          <w:rFonts w:ascii="Century" w:eastAsia="ＭＳ 明朝" w:hAnsi="Century"/>
          <w:szCs w:val="21"/>
        </w:rPr>
        <w:t>2018</w:t>
      </w:r>
      <w:r w:rsidRPr="003C7EE7">
        <w:rPr>
          <w:rFonts w:ascii="Century" w:eastAsia="ＭＳ 明朝" w:hAnsi="Century"/>
          <w:szCs w:val="21"/>
        </w:rPr>
        <w:t>）、</w:t>
      </w:r>
      <w:r w:rsidRPr="003C7EE7">
        <w:rPr>
          <w:rFonts w:ascii="Century" w:eastAsia="ＭＳ 明朝" w:hAnsi="Century"/>
          <w:szCs w:val="21"/>
        </w:rPr>
        <w:t>National Income of Thailand</w:t>
      </w:r>
    </w:p>
    <w:p w14:paraId="234AAD3A" w14:textId="02E461BE" w:rsidR="00BE379D" w:rsidRPr="003C7EE7" w:rsidRDefault="00BE379D">
      <w:pPr>
        <w:rPr>
          <w:rFonts w:ascii="Century" w:eastAsia="ＭＳ 明朝" w:hAnsi="Century"/>
          <w:sz w:val="18"/>
        </w:rPr>
      </w:pPr>
    </w:p>
    <w:p w14:paraId="0E865712" w14:textId="52C704FD" w:rsidR="00BE379D" w:rsidRDefault="00BE379D">
      <w:pPr>
        <w:rPr>
          <w:sz w:val="18"/>
        </w:rPr>
      </w:pPr>
    </w:p>
    <w:p w14:paraId="38173846" w14:textId="77777777" w:rsidR="00BE379D" w:rsidRPr="0069769F" w:rsidRDefault="00BE379D">
      <w:pPr>
        <w:rPr>
          <w:rFonts w:ascii="Times New Roman" w:eastAsiaTheme="minorHAnsi" w:hAnsi="Times New Roman" w:cs="Times New Roman"/>
          <w:sz w:val="18"/>
        </w:rPr>
      </w:pPr>
    </w:p>
    <w:p w14:paraId="6FFD310A" w14:textId="77777777" w:rsidR="0028729A" w:rsidRPr="0069769F" w:rsidRDefault="0028729A">
      <w:pPr>
        <w:rPr>
          <w:rFonts w:ascii="Times New Roman" w:eastAsiaTheme="minorHAnsi" w:hAnsi="Times New Roman" w:cs="Times New Roman"/>
          <w:sz w:val="18"/>
        </w:rPr>
      </w:pPr>
    </w:p>
    <w:p w14:paraId="5F4F2CEA" w14:textId="77777777" w:rsidR="0028729A" w:rsidRPr="0069769F" w:rsidRDefault="0028729A">
      <w:pPr>
        <w:rPr>
          <w:rFonts w:ascii="Times New Roman" w:eastAsiaTheme="minorHAnsi" w:hAnsi="Times New Roman" w:cs="Times New Roman"/>
          <w:sz w:val="18"/>
        </w:rPr>
      </w:pPr>
    </w:p>
    <w:p w14:paraId="7B7AF694" w14:textId="77777777" w:rsidR="0028729A" w:rsidRPr="0069769F" w:rsidRDefault="0028729A">
      <w:pPr>
        <w:rPr>
          <w:rFonts w:ascii="Times New Roman" w:eastAsiaTheme="minorHAnsi" w:hAnsi="Times New Roman" w:cs="Times New Roman"/>
          <w:sz w:val="18"/>
        </w:rPr>
      </w:pPr>
    </w:p>
    <w:p w14:paraId="37528959" w14:textId="77777777" w:rsidR="0028729A" w:rsidRPr="0069769F" w:rsidRDefault="0028729A">
      <w:pPr>
        <w:rPr>
          <w:rFonts w:ascii="Times New Roman" w:eastAsiaTheme="minorHAnsi" w:hAnsi="Times New Roman" w:cs="Times New Roman"/>
          <w:sz w:val="18"/>
        </w:rPr>
      </w:pPr>
    </w:p>
    <w:p w14:paraId="746BDF4A" w14:textId="77777777" w:rsidR="0028729A" w:rsidRPr="0069769F" w:rsidRDefault="0028729A">
      <w:pPr>
        <w:rPr>
          <w:rFonts w:ascii="Times New Roman" w:eastAsiaTheme="minorHAnsi" w:hAnsi="Times New Roman" w:cs="Times New Roman"/>
          <w:sz w:val="18"/>
        </w:rPr>
      </w:pPr>
    </w:p>
    <w:p w14:paraId="6962106B" w14:textId="77777777" w:rsidR="0028729A" w:rsidRPr="0069769F" w:rsidRDefault="0028729A">
      <w:pPr>
        <w:rPr>
          <w:rFonts w:ascii="Times New Roman" w:eastAsiaTheme="minorHAnsi" w:hAnsi="Times New Roman" w:cs="Times New Roman"/>
          <w:sz w:val="18"/>
        </w:rPr>
      </w:pPr>
    </w:p>
    <w:p w14:paraId="721CC07F" w14:textId="77777777" w:rsidR="0028729A" w:rsidRPr="0069769F" w:rsidRDefault="0028729A">
      <w:pPr>
        <w:rPr>
          <w:rFonts w:ascii="Times New Roman" w:eastAsiaTheme="minorHAnsi" w:hAnsi="Times New Roman" w:cs="Times New Roman"/>
          <w:sz w:val="18"/>
        </w:rPr>
      </w:pPr>
    </w:p>
    <w:p w14:paraId="5411A9FE" w14:textId="77777777" w:rsidR="0028729A" w:rsidRPr="0069769F" w:rsidRDefault="0028729A">
      <w:pPr>
        <w:rPr>
          <w:rFonts w:ascii="Times New Roman" w:eastAsiaTheme="minorHAnsi" w:hAnsi="Times New Roman" w:cs="Times New Roman"/>
          <w:sz w:val="18"/>
        </w:rPr>
      </w:pPr>
    </w:p>
    <w:p w14:paraId="44B357CE" w14:textId="77777777" w:rsidR="0028729A" w:rsidRPr="0069769F" w:rsidRDefault="0028729A">
      <w:pPr>
        <w:rPr>
          <w:rFonts w:ascii="Times New Roman" w:eastAsiaTheme="minorHAnsi" w:hAnsi="Times New Roman" w:cs="Times New Roman"/>
          <w:sz w:val="18"/>
        </w:rPr>
      </w:pPr>
    </w:p>
    <w:p w14:paraId="2F3C4E35" w14:textId="77777777" w:rsidR="0028729A" w:rsidRPr="0069769F" w:rsidRDefault="0028729A">
      <w:pPr>
        <w:rPr>
          <w:rFonts w:ascii="Times New Roman" w:eastAsiaTheme="minorHAnsi" w:hAnsi="Times New Roman" w:cs="Times New Roman"/>
          <w:sz w:val="18"/>
        </w:rPr>
      </w:pPr>
    </w:p>
    <w:p w14:paraId="37910EF6" w14:textId="77777777" w:rsidR="0028729A" w:rsidRPr="0069769F" w:rsidRDefault="0028729A">
      <w:pPr>
        <w:rPr>
          <w:rFonts w:ascii="Times New Roman" w:eastAsiaTheme="minorHAnsi" w:hAnsi="Times New Roman" w:cs="Times New Roman"/>
          <w:sz w:val="18"/>
        </w:rPr>
      </w:pPr>
    </w:p>
    <w:p w14:paraId="08A9F8DE" w14:textId="77777777" w:rsidR="0069769F" w:rsidRPr="0069769F" w:rsidRDefault="0069769F">
      <w:pPr>
        <w:rPr>
          <w:rFonts w:ascii="Times New Roman" w:eastAsiaTheme="minorHAnsi" w:hAnsi="Times New Roman" w:cs="Times New Roman"/>
          <w:sz w:val="18"/>
        </w:rPr>
      </w:pPr>
    </w:p>
    <w:sectPr w:rsidR="0069769F" w:rsidRPr="006976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B05A7" w14:textId="77777777" w:rsidR="00324EF4" w:rsidRDefault="00324EF4" w:rsidP="00C90483">
      <w:r>
        <w:separator/>
      </w:r>
    </w:p>
  </w:endnote>
  <w:endnote w:type="continuationSeparator" w:id="0">
    <w:p w14:paraId="6E1E93A2" w14:textId="77777777" w:rsidR="00324EF4" w:rsidRDefault="00324EF4" w:rsidP="00C9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1217C" w14:textId="77777777" w:rsidR="00324EF4" w:rsidRDefault="00324EF4" w:rsidP="00C90483">
      <w:r>
        <w:separator/>
      </w:r>
    </w:p>
  </w:footnote>
  <w:footnote w:type="continuationSeparator" w:id="0">
    <w:p w14:paraId="4C1039BC" w14:textId="77777777" w:rsidR="00324EF4" w:rsidRDefault="00324EF4" w:rsidP="00C90483">
      <w:r>
        <w:continuationSeparator/>
      </w:r>
    </w:p>
  </w:footnote>
  <w:footnote w:id="1">
    <w:p w14:paraId="2B9DEC06" w14:textId="14296C23" w:rsidR="002B0171" w:rsidRDefault="002B0171">
      <w:pPr>
        <w:pStyle w:val="a3"/>
        <w:rPr>
          <w:rFonts w:hint="eastAsia"/>
        </w:rPr>
      </w:pPr>
      <w:r>
        <w:rPr>
          <w:rStyle w:val="a5"/>
        </w:rPr>
        <w:footnoteRef/>
      </w:r>
      <w:r>
        <w:t xml:space="preserve"> </w:t>
      </w:r>
      <w:r>
        <w:rPr>
          <w:rFonts w:hint="eastAsia"/>
        </w:rPr>
        <w:t>I</w:t>
      </w:r>
      <w:r>
        <w:t>nternational Monetary Fund</w:t>
      </w:r>
      <w:r>
        <w:rPr>
          <w:rFonts w:hint="eastAsia"/>
        </w:rPr>
        <w:t>（国際通貨基金）</w:t>
      </w:r>
    </w:p>
  </w:footnote>
  <w:footnote w:id="2">
    <w:p w14:paraId="18E9326A" w14:textId="7FE93579" w:rsidR="002B0171" w:rsidRDefault="002B0171" w:rsidP="002B0171">
      <w:pPr>
        <w:pStyle w:val="a3"/>
        <w:rPr>
          <w:rFonts w:hint="eastAsia"/>
        </w:rPr>
      </w:pPr>
      <w:r>
        <w:rPr>
          <w:rStyle w:val="a5"/>
        </w:rPr>
        <w:footnoteRef/>
      </w:r>
      <w:r>
        <w:t xml:space="preserve"> </w:t>
      </w:r>
      <w:r>
        <w:t>Office of the National Economic and Social Development Board</w:t>
      </w:r>
      <w:r>
        <w:rPr>
          <w:rFonts w:hint="eastAsia"/>
        </w:rPr>
        <w:t>（</w:t>
      </w:r>
      <w:r>
        <w:rPr>
          <w:rFonts w:hint="eastAsia"/>
        </w:rPr>
        <w:t>タイ国国家経済社会開発庁）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20"/>
    <w:rsid w:val="0003038A"/>
    <w:rsid w:val="00105E30"/>
    <w:rsid w:val="001657B4"/>
    <w:rsid w:val="001A3A3E"/>
    <w:rsid w:val="001B2812"/>
    <w:rsid w:val="001D1457"/>
    <w:rsid w:val="00216C88"/>
    <w:rsid w:val="002245BE"/>
    <w:rsid w:val="00266C30"/>
    <w:rsid w:val="00282B3E"/>
    <w:rsid w:val="0028729A"/>
    <w:rsid w:val="002964BE"/>
    <w:rsid w:val="002A0851"/>
    <w:rsid w:val="002B0171"/>
    <w:rsid w:val="002E2E92"/>
    <w:rsid w:val="00324EF4"/>
    <w:rsid w:val="00343DFD"/>
    <w:rsid w:val="00352B51"/>
    <w:rsid w:val="003659B2"/>
    <w:rsid w:val="00370DF3"/>
    <w:rsid w:val="00374F90"/>
    <w:rsid w:val="00377D98"/>
    <w:rsid w:val="00390709"/>
    <w:rsid w:val="003B2815"/>
    <w:rsid w:val="003C7EE7"/>
    <w:rsid w:val="00470A65"/>
    <w:rsid w:val="004837B1"/>
    <w:rsid w:val="004E48AF"/>
    <w:rsid w:val="005174D3"/>
    <w:rsid w:val="005E53EA"/>
    <w:rsid w:val="006364BA"/>
    <w:rsid w:val="00642698"/>
    <w:rsid w:val="0064733A"/>
    <w:rsid w:val="00695720"/>
    <w:rsid w:val="0069769F"/>
    <w:rsid w:val="00723326"/>
    <w:rsid w:val="007A189C"/>
    <w:rsid w:val="007B6B35"/>
    <w:rsid w:val="00812BE5"/>
    <w:rsid w:val="00816B9E"/>
    <w:rsid w:val="00825794"/>
    <w:rsid w:val="00841E01"/>
    <w:rsid w:val="00863601"/>
    <w:rsid w:val="008707D3"/>
    <w:rsid w:val="008C0F9F"/>
    <w:rsid w:val="008D3AD9"/>
    <w:rsid w:val="00910E29"/>
    <w:rsid w:val="0092020B"/>
    <w:rsid w:val="009268B9"/>
    <w:rsid w:val="0099455F"/>
    <w:rsid w:val="009D0099"/>
    <w:rsid w:val="00A3430B"/>
    <w:rsid w:val="00A43E33"/>
    <w:rsid w:val="00A9213C"/>
    <w:rsid w:val="00AD590D"/>
    <w:rsid w:val="00AD7094"/>
    <w:rsid w:val="00B46F79"/>
    <w:rsid w:val="00B855A3"/>
    <w:rsid w:val="00BB1C51"/>
    <w:rsid w:val="00BC41BB"/>
    <w:rsid w:val="00BE379D"/>
    <w:rsid w:val="00C7300F"/>
    <w:rsid w:val="00C90483"/>
    <w:rsid w:val="00C9527E"/>
    <w:rsid w:val="00CB6328"/>
    <w:rsid w:val="00D0041C"/>
    <w:rsid w:val="00D413A8"/>
    <w:rsid w:val="00D6085D"/>
    <w:rsid w:val="00D80E6C"/>
    <w:rsid w:val="00DC0DCB"/>
    <w:rsid w:val="00DC55C0"/>
    <w:rsid w:val="00E3248D"/>
    <w:rsid w:val="00E36920"/>
    <w:rsid w:val="00E45D5F"/>
    <w:rsid w:val="00E940C8"/>
    <w:rsid w:val="00EE05DD"/>
    <w:rsid w:val="00F01DF7"/>
    <w:rsid w:val="00F13F67"/>
    <w:rsid w:val="00F21EE2"/>
    <w:rsid w:val="00F3064B"/>
    <w:rsid w:val="00F42338"/>
    <w:rsid w:val="00F56A6B"/>
    <w:rsid w:val="00F7794D"/>
    <w:rsid w:val="00FA45F4"/>
    <w:rsid w:val="00FB696D"/>
    <w:rsid w:val="00FC4213"/>
    <w:rsid w:val="00FF4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C70B7"/>
  <w15:chartTrackingRefBased/>
  <w15:docId w15:val="{60D14279-AF15-4CF5-A4B9-F91AED5E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90483"/>
    <w:pPr>
      <w:snapToGrid w:val="0"/>
      <w:jc w:val="left"/>
    </w:pPr>
  </w:style>
  <w:style w:type="character" w:customStyle="1" w:styleId="a4">
    <w:name w:val="脚注文字列 (文字)"/>
    <w:basedOn w:val="a0"/>
    <w:link w:val="a3"/>
    <w:uiPriority w:val="99"/>
    <w:semiHidden/>
    <w:rsid w:val="00C90483"/>
  </w:style>
  <w:style w:type="character" w:styleId="a5">
    <w:name w:val="footnote reference"/>
    <w:basedOn w:val="a0"/>
    <w:uiPriority w:val="99"/>
    <w:semiHidden/>
    <w:unhideWhenUsed/>
    <w:rsid w:val="00C90483"/>
    <w:rPr>
      <w:vertAlign w:val="superscript"/>
    </w:rPr>
  </w:style>
  <w:style w:type="paragraph" w:styleId="Web">
    <w:name w:val="Normal (Web)"/>
    <w:basedOn w:val="a"/>
    <w:uiPriority w:val="99"/>
    <w:semiHidden/>
    <w:unhideWhenUsed/>
    <w:rsid w:val="002872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5174D3"/>
    <w:pPr>
      <w:tabs>
        <w:tab w:val="center" w:pos="4252"/>
        <w:tab w:val="right" w:pos="8504"/>
      </w:tabs>
      <w:snapToGrid w:val="0"/>
    </w:pPr>
  </w:style>
  <w:style w:type="character" w:customStyle="1" w:styleId="a7">
    <w:name w:val="ヘッダー (文字)"/>
    <w:basedOn w:val="a0"/>
    <w:link w:val="a6"/>
    <w:uiPriority w:val="99"/>
    <w:rsid w:val="005174D3"/>
  </w:style>
  <w:style w:type="paragraph" w:styleId="a8">
    <w:name w:val="footer"/>
    <w:basedOn w:val="a"/>
    <w:link w:val="a9"/>
    <w:uiPriority w:val="99"/>
    <w:unhideWhenUsed/>
    <w:rsid w:val="005174D3"/>
    <w:pPr>
      <w:tabs>
        <w:tab w:val="center" w:pos="4252"/>
        <w:tab w:val="right" w:pos="8504"/>
      </w:tabs>
      <w:snapToGrid w:val="0"/>
    </w:pPr>
  </w:style>
  <w:style w:type="character" w:customStyle="1" w:styleId="a9">
    <w:name w:val="フッター (文字)"/>
    <w:basedOn w:val="a0"/>
    <w:link w:val="a8"/>
    <w:uiPriority w:val="99"/>
    <w:rsid w:val="005174D3"/>
  </w:style>
  <w:style w:type="paragraph" w:styleId="aa">
    <w:name w:val="endnote text"/>
    <w:basedOn w:val="a"/>
    <w:link w:val="ab"/>
    <w:uiPriority w:val="99"/>
    <w:semiHidden/>
    <w:unhideWhenUsed/>
    <w:rsid w:val="002B0171"/>
    <w:pPr>
      <w:snapToGrid w:val="0"/>
      <w:jc w:val="left"/>
    </w:pPr>
  </w:style>
  <w:style w:type="character" w:customStyle="1" w:styleId="ab">
    <w:name w:val="文末脚注文字列 (文字)"/>
    <w:basedOn w:val="a0"/>
    <w:link w:val="aa"/>
    <w:uiPriority w:val="99"/>
    <w:semiHidden/>
    <w:rsid w:val="002B0171"/>
  </w:style>
  <w:style w:type="character" w:styleId="ac">
    <w:name w:val="endnote reference"/>
    <w:basedOn w:val="a0"/>
    <w:uiPriority w:val="99"/>
    <w:semiHidden/>
    <w:unhideWhenUsed/>
    <w:rsid w:val="002B0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717344">
      <w:bodyDiv w:val="1"/>
      <w:marLeft w:val="0"/>
      <w:marRight w:val="0"/>
      <w:marTop w:val="0"/>
      <w:marBottom w:val="0"/>
      <w:divBdr>
        <w:top w:val="none" w:sz="0" w:space="0" w:color="auto"/>
        <w:left w:val="none" w:sz="0" w:space="0" w:color="auto"/>
        <w:bottom w:val="none" w:sz="0" w:space="0" w:color="auto"/>
        <w:right w:val="none" w:sz="0" w:space="0" w:color="auto"/>
      </w:divBdr>
    </w:div>
    <w:div w:id="606811024">
      <w:bodyDiv w:val="1"/>
      <w:marLeft w:val="0"/>
      <w:marRight w:val="0"/>
      <w:marTop w:val="0"/>
      <w:marBottom w:val="0"/>
      <w:divBdr>
        <w:top w:val="none" w:sz="0" w:space="0" w:color="auto"/>
        <w:left w:val="none" w:sz="0" w:space="0" w:color="auto"/>
        <w:bottom w:val="none" w:sz="0" w:space="0" w:color="auto"/>
        <w:right w:val="none" w:sz="0" w:space="0" w:color="auto"/>
      </w:divBdr>
    </w:div>
    <w:div w:id="1367095854">
      <w:bodyDiv w:val="1"/>
      <w:marLeft w:val="0"/>
      <w:marRight w:val="0"/>
      <w:marTop w:val="0"/>
      <w:marBottom w:val="0"/>
      <w:divBdr>
        <w:top w:val="none" w:sz="0" w:space="0" w:color="auto"/>
        <w:left w:val="none" w:sz="0" w:space="0" w:color="auto"/>
        <w:bottom w:val="none" w:sz="0" w:space="0" w:color="auto"/>
        <w:right w:val="none" w:sz="0" w:space="0" w:color="auto"/>
      </w:divBdr>
    </w:div>
    <w:div w:id="1471482083">
      <w:bodyDiv w:val="1"/>
      <w:marLeft w:val="0"/>
      <w:marRight w:val="0"/>
      <w:marTop w:val="0"/>
      <w:marBottom w:val="0"/>
      <w:divBdr>
        <w:top w:val="none" w:sz="0" w:space="0" w:color="auto"/>
        <w:left w:val="none" w:sz="0" w:space="0" w:color="auto"/>
        <w:bottom w:val="none" w:sz="0" w:space="0" w:color="auto"/>
        <w:right w:val="none" w:sz="0" w:space="0" w:color="auto"/>
      </w:divBdr>
    </w:div>
    <w:div w:id="1905288651">
      <w:bodyDiv w:val="1"/>
      <w:marLeft w:val="0"/>
      <w:marRight w:val="0"/>
      <w:marTop w:val="0"/>
      <w:marBottom w:val="0"/>
      <w:divBdr>
        <w:top w:val="none" w:sz="0" w:space="0" w:color="auto"/>
        <w:left w:val="none" w:sz="0" w:space="0" w:color="auto"/>
        <w:bottom w:val="none" w:sz="0" w:space="0" w:color="auto"/>
        <w:right w:val="none" w:sz="0" w:space="0" w:color="auto"/>
      </w:divBdr>
    </w:div>
    <w:div w:id="213123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A02F-ED3E-4F7D-ADAD-433857F5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7234</TotalTime>
  <Pages>3</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ss201896</dc:creator>
  <cp:keywords/>
  <dc:description/>
  <cp:lastModifiedBy>ss201896</cp:lastModifiedBy>
  <cp:revision>46</cp:revision>
  <dcterms:created xsi:type="dcterms:W3CDTF">2018-03-25T08:30:00Z</dcterms:created>
  <dcterms:modified xsi:type="dcterms:W3CDTF">2020-10-26T01:25:00Z</dcterms:modified>
</cp:coreProperties>
</file>